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rPr>
          <w:rFonts w:asciiTheme="minorEastAsia" w:hAnsiTheme="minorEastAsia"/>
          <w:b/>
          <w:bCs/>
          <w:sz w:val="84"/>
          <w:szCs w:val="84"/>
        </w:rPr>
      </w:pPr>
    </w:p>
    <w:p>
      <w:pPr>
        <w:ind w:firstLine="0" w:firstLineChars="0"/>
        <w:jc w:val="center"/>
        <w:rPr>
          <w:rFonts w:hint="default" w:asciiTheme="minorEastAsia" w:hAnsiTheme="minorEastAsia" w:eastAsiaTheme="minorEastAsia"/>
          <w:b/>
          <w:bCs/>
          <w:sz w:val="84"/>
          <w:szCs w:val="84"/>
          <w:lang w:val="en-US" w:eastAsia="zh-CN"/>
        </w:rPr>
      </w:pPr>
      <w:r>
        <w:rPr>
          <w:rFonts w:hint="eastAsia" w:asciiTheme="minorEastAsia" w:hAnsiTheme="minorEastAsia"/>
          <w:b/>
          <w:bCs/>
          <w:sz w:val="84"/>
          <w:szCs w:val="84"/>
          <w:lang w:val="en-US" w:eastAsia="zh-CN"/>
        </w:rPr>
        <w:t>采购需求</w:t>
      </w: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ind w:firstLine="1205" w:firstLineChars="4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项目名称:知识产权管理系统租赁服务</w:t>
      </w:r>
    </w:p>
    <w:p>
      <w:pPr>
        <w:pStyle w:val="20"/>
        <w:spacing w:before="0" w:beforeLines="0" w:after="0" w:afterLines="0" w:line="360" w:lineRule="auto"/>
        <w:ind w:firstLine="1205" w:firstLineChars="400"/>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采 购 人:浙江水利水电学院</w:t>
      </w:r>
      <w:bookmarkStart w:id="30" w:name="_GoBack"/>
      <w:bookmarkEnd w:id="30"/>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0"/>
        <w:spacing w:before="0" w:beforeLines="0" w:after="0" w:afterLines="0" w:line="360" w:lineRule="auto"/>
        <w:rPr>
          <w:rFonts w:asciiTheme="minorEastAsia" w:hAnsiTheme="minorEastAsia" w:eastAsiaTheme="minorEastAsia"/>
          <w:b/>
          <w:bCs/>
          <w:sz w:val="30"/>
          <w:szCs w:val="30"/>
        </w:rPr>
      </w:pPr>
    </w:p>
    <w:p>
      <w:pPr>
        <w:pStyle w:val="2"/>
        <w:spacing w:line="360" w:lineRule="auto"/>
        <w:ind w:firstLine="285"/>
        <w:jc w:val="center"/>
        <w:rPr>
          <w:rFonts w:asciiTheme="minorEastAsia" w:hAnsiTheme="minorEastAsia" w:eastAsiaTheme="minorEastAsia"/>
          <w:bCs/>
          <w:sz w:val="30"/>
          <w:szCs w:val="30"/>
        </w:rPr>
      </w:pPr>
      <w:r>
        <w:rPr>
          <w:rFonts w:hint="eastAsia" w:asciiTheme="minorEastAsia" w:hAnsiTheme="minorEastAsia" w:eastAsiaTheme="minorEastAsia"/>
          <w:bCs/>
          <w:sz w:val="30"/>
          <w:szCs w:val="30"/>
        </w:rPr>
        <w:t>2024年</w:t>
      </w:r>
      <w:r>
        <w:rPr>
          <w:rFonts w:hint="eastAsia" w:asciiTheme="minorEastAsia" w:hAnsiTheme="minorEastAsia" w:eastAsiaTheme="minorEastAsia"/>
          <w:bCs/>
          <w:sz w:val="30"/>
          <w:szCs w:val="30"/>
          <w:lang w:val="en-US" w:eastAsia="zh-CN"/>
        </w:rPr>
        <w:t>6</w:t>
      </w:r>
      <w:r>
        <w:rPr>
          <w:rFonts w:asciiTheme="minorEastAsia" w:hAnsiTheme="minorEastAsia" w:eastAsiaTheme="minorEastAsia"/>
          <w:bCs/>
          <w:sz w:val="30"/>
          <w:szCs w:val="30"/>
        </w:rPr>
        <w:t>月</w:t>
      </w:r>
    </w:p>
    <w:p>
      <w:pPr>
        <w:pStyle w:val="2"/>
        <w:spacing w:line="360" w:lineRule="auto"/>
        <w:ind w:firstLine="285"/>
        <w:rPr>
          <w:rFonts w:asciiTheme="minorEastAsia" w:hAnsiTheme="minorEastAsia" w:eastAsiaTheme="minorEastAsia"/>
          <w:bCs/>
          <w:sz w:val="30"/>
          <w:szCs w:val="30"/>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sdt>
      <w:sdtPr>
        <w:rPr>
          <w:rFonts w:asciiTheme="minorHAnsi" w:hAnsiTheme="minorHAnsi" w:eastAsiaTheme="minorEastAsia" w:cstheme="minorBidi"/>
          <w:color w:val="auto"/>
          <w:kern w:val="2"/>
          <w:sz w:val="24"/>
          <w:szCs w:val="22"/>
          <w:lang w:val="zh-CN"/>
        </w:rPr>
        <w:id w:val="-1551305457"/>
        <w:docPartObj>
          <w:docPartGallery w:val="Table of Contents"/>
          <w:docPartUnique/>
        </w:docPartObj>
      </w:sdtPr>
      <w:sdtEndPr>
        <w:rPr>
          <w:rFonts w:asciiTheme="minorHAnsi" w:hAnsiTheme="minorHAnsi" w:eastAsiaTheme="minorEastAsia" w:cstheme="minorBidi"/>
          <w:b/>
          <w:bCs/>
          <w:color w:val="auto"/>
          <w:kern w:val="2"/>
          <w:sz w:val="24"/>
          <w:szCs w:val="22"/>
          <w:lang w:val="zh-CN"/>
        </w:rPr>
      </w:sdtEndPr>
      <w:sdtContent>
        <w:p>
          <w:pPr>
            <w:pStyle w:val="115"/>
            <w:ind w:firstLine="480"/>
            <w:jc w:val="center"/>
            <w:rPr>
              <w:lang w:val="zh-CN"/>
            </w:rPr>
          </w:pPr>
          <w:r>
            <w:rPr>
              <w:lang w:val="zh-CN"/>
            </w:rPr>
            <w:t>目</w:t>
          </w:r>
          <w:r>
            <w:rPr>
              <w:rFonts w:hint="eastAsia"/>
              <w:lang w:val="zh-CN"/>
            </w:rPr>
            <w:t xml:space="preserve"> </w:t>
          </w:r>
          <w:r>
            <w:rPr>
              <w:lang w:val="zh-CN"/>
            </w:rPr>
            <w:t>录</w:t>
          </w:r>
        </w:p>
        <w:p>
          <w:pPr>
            <w:ind w:firstLine="480"/>
            <w:rPr>
              <w:lang w:val="zh-CN"/>
            </w:rPr>
          </w:pPr>
        </w:p>
        <w:p>
          <w:pPr>
            <w:pStyle w:val="27"/>
            <w:tabs>
              <w:tab w:val="right" w:leader="dot" w:pos="8302"/>
            </w:tabs>
            <w:ind w:firstLine="480"/>
            <w:rPr>
              <w:rFonts w:eastAsiaTheme="minorEastAsia"/>
              <w:sz w:val="21"/>
              <w14:ligatures w14:val="standardContextual"/>
            </w:rPr>
          </w:pPr>
          <w:r>
            <w:fldChar w:fldCharType="begin"/>
          </w:r>
          <w:r>
            <w:instrText xml:space="preserve"> TOC \o "1-3" \h \z \u </w:instrText>
          </w:r>
          <w:r>
            <w:fldChar w:fldCharType="separate"/>
          </w:r>
          <w:r>
            <w:rPr>
              <w:rStyle w:val="41"/>
            </w:rPr>
            <w:fldChar w:fldCharType="begin"/>
          </w:r>
          <w:r>
            <w:rPr>
              <w:rStyle w:val="41"/>
            </w:rPr>
            <w:instrText xml:space="preserve"> </w:instrText>
          </w:r>
          <w:r>
            <w:instrText xml:space="preserve">HYPERLINK \l "_Toc168300553"</w:instrText>
          </w:r>
          <w:r>
            <w:rPr>
              <w:rStyle w:val="41"/>
            </w:rPr>
            <w:instrText xml:space="preserve"> </w:instrText>
          </w:r>
          <w:r>
            <w:rPr>
              <w:rStyle w:val="41"/>
            </w:rPr>
            <w:fldChar w:fldCharType="separate"/>
          </w:r>
          <w:r>
            <w:rPr>
              <w:rStyle w:val="41"/>
              <w:rFonts w:hint="eastAsia" w:ascii="宋体" w:hAnsi="宋体" w:eastAsia="宋体" w:cs="宋体"/>
            </w:rPr>
            <w:t>一、供应商须知</w:t>
          </w:r>
          <w:r>
            <w:tab/>
          </w:r>
          <w:r>
            <w:fldChar w:fldCharType="begin"/>
          </w:r>
          <w:r>
            <w:instrText xml:space="preserve"> PAGEREF _Toc168300553 \h </w:instrText>
          </w:r>
          <w:r>
            <w:fldChar w:fldCharType="separate"/>
          </w:r>
          <w:r>
            <w:t>3</w:t>
          </w:r>
          <w:r>
            <w:fldChar w:fldCharType="end"/>
          </w:r>
          <w:r>
            <w:rPr>
              <w:rStyle w:val="41"/>
            </w:rPr>
            <w:fldChar w:fldCharType="end"/>
          </w:r>
        </w:p>
        <w:p>
          <w:pPr>
            <w:pStyle w:val="30"/>
            <w:tabs>
              <w:tab w:val="right" w:leader="dot" w:pos="8302"/>
            </w:tabs>
            <w:ind w:left="480" w:firstLine="480"/>
            <w:rPr>
              <w:sz w:val="21"/>
              <w14:ligatures w14:val="standardContextual"/>
            </w:rPr>
          </w:pPr>
          <w:r>
            <w:rPr>
              <w:rStyle w:val="41"/>
            </w:rPr>
            <w:fldChar w:fldCharType="begin"/>
          </w:r>
          <w:r>
            <w:rPr>
              <w:rStyle w:val="41"/>
            </w:rPr>
            <w:instrText xml:space="preserve"> </w:instrText>
          </w:r>
          <w:r>
            <w:instrText xml:space="preserve">HYPERLINK \l "_Toc168300554"</w:instrText>
          </w:r>
          <w:r>
            <w:rPr>
              <w:rStyle w:val="41"/>
            </w:rPr>
            <w:instrText xml:space="preserve"> </w:instrText>
          </w:r>
          <w:r>
            <w:rPr>
              <w:rStyle w:val="41"/>
            </w:rPr>
            <w:fldChar w:fldCharType="separate"/>
          </w:r>
          <w:r>
            <w:rPr>
              <w:rStyle w:val="41"/>
              <w:rFonts w:asciiTheme="minorEastAsia" w:hAnsiTheme="minorEastAsia"/>
            </w:rPr>
            <w:t>（一）供应商须知前附表1</w:t>
          </w:r>
          <w:r>
            <w:tab/>
          </w:r>
          <w:r>
            <w:fldChar w:fldCharType="begin"/>
          </w:r>
          <w:r>
            <w:instrText xml:space="preserve"> PAGEREF _Toc168300554 \h </w:instrText>
          </w:r>
          <w:r>
            <w:fldChar w:fldCharType="separate"/>
          </w:r>
          <w:r>
            <w:t>3</w:t>
          </w:r>
          <w:r>
            <w:fldChar w:fldCharType="end"/>
          </w:r>
          <w:r>
            <w:rPr>
              <w:rStyle w:val="41"/>
            </w:rPr>
            <w:fldChar w:fldCharType="end"/>
          </w:r>
        </w:p>
        <w:p>
          <w:pPr>
            <w:pStyle w:val="30"/>
            <w:tabs>
              <w:tab w:val="right" w:leader="dot" w:pos="8302"/>
            </w:tabs>
            <w:ind w:left="480" w:firstLine="480"/>
            <w:rPr>
              <w:sz w:val="21"/>
              <w14:ligatures w14:val="standardContextual"/>
            </w:rPr>
          </w:pPr>
          <w:r>
            <w:rPr>
              <w:rStyle w:val="41"/>
            </w:rPr>
            <w:fldChar w:fldCharType="begin"/>
          </w:r>
          <w:r>
            <w:rPr>
              <w:rStyle w:val="41"/>
            </w:rPr>
            <w:instrText xml:space="preserve"> </w:instrText>
          </w:r>
          <w:r>
            <w:instrText xml:space="preserve">HYPERLINK \l "_Toc168300555"</w:instrText>
          </w:r>
          <w:r>
            <w:rPr>
              <w:rStyle w:val="41"/>
            </w:rPr>
            <w:instrText xml:space="preserve"> </w:instrText>
          </w:r>
          <w:r>
            <w:rPr>
              <w:rStyle w:val="41"/>
            </w:rPr>
            <w:fldChar w:fldCharType="separate"/>
          </w:r>
          <w:r>
            <w:rPr>
              <w:rStyle w:val="41"/>
              <w:rFonts w:asciiTheme="minorEastAsia" w:hAnsiTheme="minorEastAsia"/>
            </w:rPr>
            <w:t>（二）供应商须知前附表2:资格性、符合性检查表</w:t>
          </w:r>
          <w:r>
            <w:tab/>
          </w:r>
          <w:r>
            <w:fldChar w:fldCharType="begin"/>
          </w:r>
          <w:r>
            <w:instrText xml:space="preserve"> PAGEREF _Toc168300555 \h </w:instrText>
          </w:r>
          <w:r>
            <w:fldChar w:fldCharType="separate"/>
          </w:r>
          <w:r>
            <w:t>4</w:t>
          </w:r>
          <w:r>
            <w:fldChar w:fldCharType="end"/>
          </w:r>
          <w:r>
            <w:rPr>
              <w:rStyle w:val="41"/>
            </w:rPr>
            <w:fldChar w:fldCharType="end"/>
          </w:r>
        </w:p>
        <w:p>
          <w:pPr>
            <w:pStyle w:val="27"/>
            <w:tabs>
              <w:tab w:val="left" w:pos="1260"/>
              <w:tab w:val="right" w:leader="dot" w:pos="8302"/>
            </w:tabs>
            <w:ind w:firstLine="480"/>
            <w:rPr>
              <w:rFonts w:eastAsiaTheme="minorEastAsia"/>
              <w:sz w:val="21"/>
              <w14:ligatures w14:val="standardContextual"/>
            </w:rPr>
          </w:pPr>
          <w:r>
            <w:rPr>
              <w:rStyle w:val="41"/>
            </w:rPr>
            <w:fldChar w:fldCharType="begin"/>
          </w:r>
          <w:r>
            <w:rPr>
              <w:rStyle w:val="41"/>
            </w:rPr>
            <w:instrText xml:space="preserve"> </w:instrText>
          </w:r>
          <w:r>
            <w:instrText xml:space="preserve">HYPERLINK \l "_Toc168300556"</w:instrText>
          </w:r>
          <w:r>
            <w:rPr>
              <w:rStyle w:val="41"/>
            </w:rPr>
            <w:instrText xml:space="preserve"> </w:instrText>
          </w:r>
          <w:r>
            <w:rPr>
              <w:rStyle w:val="41"/>
            </w:rPr>
            <w:fldChar w:fldCharType="separate"/>
          </w:r>
          <w:r>
            <w:rPr>
              <w:rStyle w:val="41"/>
              <w:rFonts w:hint="eastAsia" w:ascii="宋体" w:hAnsi="宋体" w:eastAsia="宋体" w:cs="宋体"/>
            </w:rPr>
            <w:t>二、</w:t>
          </w:r>
          <w:r>
            <w:rPr>
              <w:rFonts w:eastAsiaTheme="minorEastAsia"/>
              <w:sz w:val="21"/>
              <w14:ligatures w14:val="standardContextual"/>
            </w:rPr>
            <w:tab/>
          </w:r>
          <w:r>
            <w:rPr>
              <w:rStyle w:val="41"/>
              <w:rFonts w:hint="eastAsia" w:ascii="宋体" w:hAnsi="宋体" w:eastAsia="宋体" w:cs="宋体"/>
            </w:rPr>
            <w:t>项目内容及要求</w:t>
          </w:r>
          <w:r>
            <w:tab/>
          </w:r>
          <w:r>
            <w:fldChar w:fldCharType="begin"/>
          </w:r>
          <w:r>
            <w:instrText xml:space="preserve"> PAGEREF _Toc168300556 \h </w:instrText>
          </w:r>
          <w:r>
            <w:fldChar w:fldCharType="separate"/>
          </w:r>
          <w:r>
            <w:t>7</w:t>
          </w:r>
          <w:r>
            <w:fldChar w:fldCharType="end"/>
          </w:r>
          <w:r>
            <w:rPr>
              <w:rStyle w:val="41"/>
            </w:rPr>
            <w:fldChar w:fldCharType="end"/>
          </w:r>
        </w:p>
        <w:p>
          <w:pPr>
            <w:pStyle w:val="30"/>
            <w:tabs>
              <w:tab w:val="left" w:pos="2100"/>
              <w:tab w:val="right" w:leader="dot" w:pos="8302"/>
            </w:tabs>
            <w:ind w:left="480" w:firstLine="480"/>
            <w:rPr>
              <w:sz w:val="21"/>
              <w14:ligatures w14:val="standardContextual"/>
            </w:rPr>
          </w:pPr>
          <w:r>
            <w:rPr>
              <w:rStyle w:val="41"/>
            </w:rPr>
            <w:fldChar w:fldCharType="begin"/>
          </w:r>
          <w:r>
            <w:rPr>
              <w:rStyle w:val="41"/>
            </w:rPr>
            <w:instrText xml:space="preserve"> </w:instrText>
          </w:r>
          <w:r>
            <w:instrText xml:space="preserve">HYPERLINK \l "_Toc168300557"</w:instrText>
          </w:r>
          <w:r>
            <w:rPr>
              <w:rStyle w:val="41"/>
            </w:rPr>
            <w:instrText xml:space="preserve"> </w:instrText>
          </w:r>
          <w:r>
            <w:rPr>
              <w:rStyle w:val="41"/>
            </w:rPr>
            <w:fldChar w:fldCharType="separate"/>
          </w:r>
          <w:r>
            <w:rPr>
              <w:rStyle w:val="41"/>
              <w:rFonts w:asciiTheme="minorEastAsia" w:hAnsiTheme="minorEastAsia"/>
            </w:rPr>
            <w:t>（一）</w:t>
          </w:r>
          <w:r>
            <w:rPr>
              <w:sz w:val="21"/>
              <w14:ligatures w14:val="standardContextual"/>
            </w:rPr>
            <w:tab/>
          </w:r>
          <w:r>
            <w:rPr>
              <w:rStyle w:val="41"/>
              <w:rFonts w:asciiTheme="minorEastAsia" w:hAnsiTheme="minorEastAsia"/>
            </w:rPr>
            <w:t>采购项目技术要求</w:t>
          </w:r>
          <w:r>
            <w:tab/>
          </w:r>
          <w:r>
            <w:fldChar w:fldCharType="begin"/>
          </w:r>
          <w:r>
            <w:instrText xml:space="preserve"> PAGEREF _Toc168300557 \h </w:instrText>
          </w:r>
          <w:r>
            <w:fldChar w:fldCharType="separate"/>
          </w:r>
          <w:r>
            <w:t>7</w:t>
          </w:r>
          <w:r>
            <w:fldChar w:fldCharType="end"/>
          </w:r>
          <w:r>
            <w:rPr>
              <w:rStyle w:val="41"/>
            </w:rPr>
            <w:fldChar w:fldCharType="end"/>
          </w:r>
        </w:p>
        <w:p>
          <w:pPr>
            <w:pStyle w:val="19"/>
            <w:tabs>
              <w:tab w:val="right" w:leader="dot" w:pos="8302"/>
            </w:tabs>
            <w:ind w:left="960" w:firstLine="480"/>
            <w:rPr>
              <w:sz w:val="21"/>
              <w14:ligatures w14:val="standardContextual"/>
            </w:rPr>
          </w:pPr>
          <w:r>
            <w:rPr>
              <w:rStyle w:val="41"/>
            </w:rPr>
            <w:fldChar w:fldCharType="begin"/>
          </w:r>
          <w:r>
            <w:rPr>
              <w:rStyle w:val="41"/>
            </w:rPr>
            <w:instrText xml:space="preserve"> </w:instrText>
          </w:r>
          <w:r>
            <w:instrText xml:space="preserve">HYPERLINK \l "_Toc168300558"</w:instrText>
          </w:r>
          <w:r>
            <w:rPr>
              <w:rStyle w:val="41"/>
            </w:rPr>
            <w:instrText xml:space="preserve"> </w:instrText>
          </w:r>
          <w:r>
            <w:rPr>
              <w:rStyle w:val="41"/>
            </w:rPr>
            <w:fldChar w:fldCharType="separate"/>
          </w:r>
          <w:r>
            <w:rPr>
              <w:rStyle w:val="41"/>
              <w:rFonts w:asciiTheme="minorEastAsia" w:hAnsiTheme="minorEastAsia"/>
            </w:rPr>
            <w:t>1.总体要求</w:t>
          </w:r>
          <w:r>
            <w:tab/>
          </w:r>
          <w:r>
            <w:fldChar w:fldCharType="begin"/>
          </w:r>
          <w:r>
            <w:instrText xml:space="preserve"> PAGEREF _Toc168300558 \h </w:instrText>
          </w:r>
          <w:r>
            <w:fldChar w:fldCharType="separate"/>
          </w:r>
          <w:r>
            <w:t>7</w:t>
          </w:r>
          <w:r>
            <w:fldChar w:fldCharType="end"/>
          </w:r>
          <w:r>
            <w:rPr>
              <w:rStyle w:val="41"/>
            </w:rPr>
            <w:fldChar w:fldCharType="end"/>
          </w:r>
        </w:p>
        <w:p>
          <w:pPr>
            <w:pStyle w:val="19"/>
            <w:tabs>
              <w:tab w:val="right" w:leader="dot" w:pos="8302"/>
            </w:tabs>
            <w:ind w:left="960" w:firstLine="480"/>
            <w:rPr>
              <w:sz w:val="21"/>
              <w14:ligatures w14:val="standardContextual"/>
            </w:rPr>
          </w:pPr>
          <w:r>
            <w:rPr>
              <w:rStyle w:val="41"/>
            </w:rPr>
            <w:fldChar w:fldCharType="begin"/>
          </w:r>
          <w:r>
            <w:rPr>
              <w:rStyle w:val="41"/>
            </w:rPr>
            <w:instrText xml:space="preserve"> </w:instrText>
          </w:r>
          <w:r>
            <w:instrText xml:space="preserve">HYPERLINK \l "_Toc168300559"</w:instrText>
          </w:r>
          <w:r>
            <w:rPr>
              <w:rStyle w:val="41"/>
            </w:rPr>
            <w:instrText xml:space="preserve"> </w:instrText>
          </w:r>
          <w:r>
            <w:rPr>
              <w:rStyle w:val="41"/>
            </w:rPr>
            <w:fldChar w:fldCharType="separate"/>
          </w:r>
          <w:r>
            <w:rPr>
              <w:rStyle w:val="41"/>
              <w:rFonts w:asciiTheme="minorEastAsia" w:hAnsiTheme="minorEastAsia"/>
            </w:rPr>
            <w:t>2.服务内容</w:t>
          </w:r>
          <w:r>
            <w:tab/>
          </w:r>
          <w:r>
            <w:fldChar w:fldCharType="begin"/>
          </w:r>
          <w:r>
            <w:instrText xml:space="preserve"> PAGEREF _Toc168300559 \h </w:instrText>
          </w:r>
          <w:r>
            <w:fldChar w:fldCharType="separate"/>
          </w:r>
          <w:r>
            <w:t>7</w:t>
          </w:r>
          <w:r>
            <w:fldChar w:fldCharType="end"/>
          </w:r>
          <w:r>
            <w:rPr>
              <w:rStyle w:val="41"/>
            </w:rPr>
            <w:fldChar w:fldCharType="end"/>
          </w:r>
        </w:p>
        <w:p>
          <w:pPr>
            <w:pStyle w:val="30"/>
            <w:tabs>
              <w:tab w:val="right" w:leader="dot" w:pos="8302"/>
            </w:tabs>
            <w:ind w:left="480" w:firstLine="480"/>
            <w:rPr>
              <w:sz w:val="21"/>
              <w14:ligatures w14:val="standardContextual"/>
            </w:rPr>
          </w:pPr>
          <w:r>
            <w:rPr>
              <w:rStyle w:val="41"/>
            </w:rPr>
            <w:fldChar w:fldCharType="begin"/>
          </w:r>
          <w:r>
            <w:rPr>
              <w:rStyle w:val="41"/>
            </w:rPr>
            <w:instrText xml:space="preserve"> </w:instrText>
          </w:r>
          <w:r>
            <w:instrText xml:space="preserve">HYPERLINK \l "_Toc168300560"</w:instrText>
          </w:r>
          <w:r>
            <w:rPr>
              <w:rStyle w:val="41"/>
            </w:rPr>
            <w:instrText xml:space="preserve"> </w:instrText>
          </w:r>
          <w:r>
            <w:rPr>
              <w:rStyle w:val="41"/>
            </w:rPr>
            <w:fldChar w:fldCharType="separate"/>
          </w:r>
          <w:r>
            <w:rPr>
              <w:rStyle w:val="41"/>
              <w:rFonts w:asciiTheme="minorEastAsia" w:hAnsiTheme="minorEastAsia"/>
            </w:rPr>
            <w:t>（二）服务期限与进场期</w:t>
          </w:r>
          <w:r>
            <w:tab/>
          </w:r>
          <w:r>
            <w:fldChar w:fldCharType="begin"/>
          </w:r>
          <w:r>
            <w:instrText xml:space="preserve"> PAGEREF _Toc168300560 \h </w:instrText>
          </w:r>
          <w:r>
            <w:fldChar w:fldCharType="separate"/>
          </w:r>
          <w:r>
            <w:t>14</w:t>
          </w:r>
          <w:r>
            <w:fldChar w:fldCharType="end"/>
          </w:r>
          <w:r>
            <w:rPr>
              <w:rStyle w:val="41"/>
            </w:rPr>
            <w:fldChar w:fldCharType="end"/>
          </w:r>
        </w:p>
        <w:p>
          <w:pPr>
            <w:pStyle w:val="30"/>
            <w:tabs>
              <w:tab w:val="right" w:leader="dot" w:pos="8302"/>
            </w:tabs>
            <w:ind w:left="480" w:firstLine="480"/>
            <w:rPr>
              <w:sz w:val="21"/>
              <w14:ligatures w14:val="standardContextual"/>
            </w:rPr>
          </w:pPr>
          <w:r>
            <w:rPr>
              <w:rStyle w:val="41"/>
            </w:rPr>
            <w:fldChar w:fldCharType="begin"/>
          </w:r>
          <w:r>
            <w:rPr>
              <w:rStyle w:val="41"/>
            </w:rPr>
            <w:instrText xml:space="preserve"> </w:instrText>
          </w:r>
          <w:r>
            <w:instrText xml:space="preserve">HYPERLINK \l "_Toc168300561"</w:instrText>
          </w:r>
          <w:r>
            <w:rPr>
              <w:rStyle w:val="41"/>
            </w:rPr>
            <w:instrText xml:space="preserve"> </w:instrText>
          </w:r>
          <w:r>
            <w:rPr>
              <w:rStyle w:val="41"/>
            </w:rPr>
            <w:fldChar w:fldCharType="separate"/>
          </w:r>
          <w:r>
            <w:rPr>
              <w:rStyle w:val="41"/>
              <w:rFonts w:asciiTheme="minorEastAsia" w:hAnsiTheme="minorEastAsia"/>
            </w:rPr>
            <w:t>（三）租赁服务要求</w:t>
          </w:r>
          <w:r>
            <w:tab/>
          </w:r>
          <w:r>
            <w:fldChar w:fldCharType="begin"/>
          </w:r>
          <w:r>
            <w:instrText xml:space="preserve"> PAGEREF _Toc168300561 \h </w:instrText>
          </w:r>
          <w:r>
            <w:fldChar w:fldCharType="separate"/>
          </w:r>
          <w:r>
            <w:t>15</w:t>
          </w:r>
          <w:r>
            <w:fldChar w:fldCharType="end"/>
          </w:r>
          <w:r>
            <w:rPr>
              <w:rStyle w:val="41"/>
            </w:rPr>
            <w:fldChar w:fldCharType="end"/>
          </w:r>
        </w:p>
        <w:p>
          <w:pPr>
            <w:ind w:firstLine="482"/>
          </w:pPr>
          <w:r>
            <w:rPr>
              <w:b/>
              <w:bCs/>
              <w:lang w:val="zh-CN"/>
            </w:rPr>
            <w:fldChar w:fldCharType="end"/>
          </w:r>
        </w:p>
      </w:sdtContent>
    </w:sdt>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2"/>
        <w:spacing w:line="360" w:lineRule="auto"/>
        <w:ind w:firstLine="0" w:firstLineChars="0"/>
        <w:rPr>
          <w:rFonts w:asciiTheme="minorEastAsia" w:hAnsiTheme="minorEastAsia" w:eastAsiaTheme="minorEastAsia"/>
        </w:rPr>
      </w:pPr>
    </w:p>
    <w:p>
      <w:pPr>
        <w:pStyle w:val="4"/>
        <w:numPr>
          <w:ilvl w:val="0"/>
          <w:numId w:val="0"/>
        </w:numPr>
        <w:rPr>
          <w:rFonts w:asciiTheme="minorEastAsia" w:hAnsiTheme="minorEastAsia" w:eastAsiaTheme="minorEastAsia"/>
        </w:rPr>
      </w:pPr>
      <w:bookmarkStart w:id="0" w:name="_Toc168300553"/>
      <w:r>
        <w:rPr>
          <w:rFonts w:hint="eastAsia" w:asciiTheme="minorEastAsia" w:hAnsiTheme="minorEastAsia" w:eastAsiaTheme="minorEastAsia"/>
        </w:rPr>
        <w:t>一、供应商须知</w:t>
      </w:r>
      <w:bookmarkEnd w:id="0"/>
    </w:p>
    <w:p>
      <w:pPr>
        <w:pStyle w:val="5"/>
        <w:numPr>
          <w:ilvl w:val="0"/>
          <w:numId w:val="0"/>
        </w:numPr>
        <w:rPr>
          <w:rFonts w:cs="宋体" w:asciiTheme="minorEastAsia" w:hAnsiTheme="minorEastAsia" w:eastAsiaTheme="minorEastAsia"/>
          <w:kern w:val="0"/>
          <w:sz w:val="18"/>
          <w:szCs w:val="18"/>
        </w:rPr>
      </w:pPr>
      <w:bookmarkStart w:id="1" w:name="_Toc398284534"/>
      <w:bookmarkStart w:id="2" w:name="_Toc168300554"/>
      <w:bookmarkStart w:id="3" w:name="_Toc107413186"/>
      <w:bookmarkStart w:id="4" w:name="_Toc431190638"/>
      <w:bookmarkStart w:id="5" w:name="_Toc398504590"/>
      <w:r>
        <w:rPr>
          <w:rFonts w:hint="eastAsia" w:asciiTheme="minorEastAsia" w:hAnsiTheme="minorEastAsia" w:eastAsiaTheme="minorEastAsia"/>
        </w:rPr>
        <w:t>（一）供应商</w:t>
      </w:r>
      <w:r>
        <w:rPr>
          <w:rFonts w:asciiTheme="minorEastAsia" w:hAnsiTheme="minorEastAsia" w:eastAsiaTheme="minorEastAsia"/>
        </w:rPr>
        <w:t>须知前附表1</w:t>
      </w:r>
      <w:bookmarkEnd w:id="1"/>
      <w:bookmarkEnd w:id="2"/>
      <w:bookmarkEnd w:id="3"/>
      <w:bookmarkEnd w:id="4"/>
      <w:bookmarkEnd w:id="5"/>
      <w:r>
        <w:rPr>
          <w:rFonts w:cs="宋体" w:asciiTheme="minorEastAsia" w:hAnsiTheme="minorEastAsia" w:eastAsiaTheme="minorEastAsia"/>
          <w:kern w:val="0"/>
          <w:sz w:val="18"/>
          <w:szCs w:val="18"/>
        </w:rPr>
        <w:t> </w:t>
      </w:r>
    </w:p>
    <w:p>
      <w:pPr>
        <w:tabs>
          <w:tab w:val="left" w:pos="1080"/>
        </w:tabs>
        <w:ind w:firstLine="480"/>
        <w:rPr>
          <w:rFonts w:asciiTheme="minorEastAsia" w:hAnsiTheme="minorEastAsia"/>
          <w:color w:val="000000"/>
        </w:rPr>
      </w:pPr>
      <w:r>
        <w:rPr>
          <w:rFonts w:asciiTheme="minorEastAsia" w:hAnsiTheme="minorEastAsia"/>
          <w:color w:val="000000"/>
        </w:rPr>
        <w:t>本须知前附表1</w:t>
      </w:r>
      <w:r>
        <w:rPr>
          <w:rFonts w:hint="eastAsia" w:asciiTheme="minorEastAsia" w:hAnsiTheme="minorEastAsia"/>
          <w:color w:val="000000"/>
        </w:rPr>
        <w:t>的内容是与《供应商须知》中条款的内容对应的</w:t>
      </w:r>
      <w:r>
        <w:rPr>
          <w:rFonts w:asciiTheme="minorEastAsia" w:hAnsiTheme="minorEastAsia"/>
          <w:color w:val="000000"/>
        </w:rPr>
        <w:t>。如果有矛盾的话，应以本附表为准。</w:t>
      </w:r>
    </w:p>
    <w:tbl>
      <w:tblPr>
        <w:tblStyle w:val="36"/>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0" w:type="dxa"/>
          <w:bottom w:w="0" w:type="dxa"/>
          <w:right w:w="0" w:type="dxa"/>
        </w:tblCellMar>
      </w:tblPr>
      <w:tblGrid>
        <w:gridCol w:w="823"/>
        <w:gridCol w:w="986"/>
        <w:gridCol w:w="6719"/>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23" w:type="dxa"/>
            <w:tcMar>
              <w:top w:w="0" w:type="dxa"/>
              <w:left w:w="108" w:type="dxa"/>
              <w:bottom w:w="0" w:type="dxa"/>
              <w:right w:w="108" w:type="dxa"/>
            </w:tcMar>
            <w:vAlign w:val="center"/>
          </w:tcPr>
          <w:p>
            <w:pPr>
              <w:ind w:firstLine="0" w:firstLineChars="0"/>
              <w:rPr>
                <w:rFonts w:asciiTheme="minorEastAsia" w:hAnsiTheme="minorEastAsia"/>
                <w:b/>
              </w:rPr>
            </w:pPr>
            <w:r>
              <w:rPr>
                <w:rFonts w:asciiTheme="minorEastAsia" w:hAnsiTheme="minorEastAsia"/>
                <w:b/>
              </w:rPr>
              <w:t>项号</w:t>
            </w:r>
          </w:p>
        </w:tc>
        <w:tc>
          <w:tcPr>
            <w:tcW w:w="986" w:type="dxa"/>
            <w:tcMar>
              <w:top w:w="0" w:type="dxa"/>
              <w:left w:w="108" w:type="dxa"/>
              <w:bottom w:w="0" w:type="dxa"/>
              <w:right w:w="108" w:type="dxa"/>
            </w:tcMar>
            <w:vAlign w:val="center"/>
          </w:tcPr>
          <w:p>
            <w:pPr>
              <w:ind w:firstLine="0" w:firstLineChars="0"/>
              <w:rPr>
                <w:rFonts w:asciiTheme="minorEastAsia" w:hAnsiTheme="minorEastAsia"/>
                <w:b/>
              </w:rPr>
            </w:pPr>
            <w:r>
              <w:rPr>
                <w:rFonts w:asciiTheme="minorEastAsia" w:hAnsiTheme="minorEastAsia"/>
                <w:b/>
              </w:rPr>
              <w:t>条款号</w:t>
            </w:r>
          </w:p>
        </w:tc>
        <w:tc>
          <w:tcPr>
            <w:tcW w:w="6719" w:type="dxa"/>
            <w:tcMar>
              <w:top w:w="0" w:type="dxa"/>
              <w:left w:w="108" w:type="dxa"/>
              <w:bottom w:w="0" w:type="dxa"/>
              <w:right w:w="108" w:type="dxa"/>
            </w:tcMar>
            <w:vAlign w:val="center"/>
          </w:tcPr>
          <w:p>
            <w:pPr>
              <w:ind w:firstLine="0" w:firstLineChars="0"/>
              <w:jc w:val="center"/>
              <w:rPr>
                <w:rFonts w:asciiTheme="minorEastAsia" w:hAnsiTheme="minorEastAsia"/>
                <w:b/>
              </w:rPr>
            </w:pPr>
            <w:r>
              <w:rPr>
                <w:rFonts w:asciiTheme="minorEastAsia" w:hAnsiTheme="minorEastAsia"/>
                <w:b/>
              </w:rPr>
              <w:t>编列内容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23" w:type="dxa"/>
            <w:tcMar>
              <w:top w:w="0" w:type="dxa"/>
              <w:left w:w="108" w:type="dxa"/>
              <w:bottom w:w="0" w:type="dxa"/>
              <w:right w:w="108" w:type="dxa"/>
            </w:tcMar>
            <w:vAlign w:val="center"/>
          </w:tcPr>
          <w:p>
            <w:pPr>
              <w:ind w:firstLine="480"/>
              <w:jc w:val="center"/>
              <w:rPr>
                <w:rFonts w:asciiTheme="minorEastAsia" w:hAnsiTheme="minorEastAsia"/>
              </w:rPr>
            </w:pPr>
            <w:r>
              <w:rPr>
                <w:rFonts w:asciiTheme="minorEastAsia" w:hAnsiTheme="minorEastAsia"/>
              </w:rPr>
              <w:t>1</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vAlign w:val="center"/>
          </w:tcPr>
          <w:p>
            <w:pPr>
              <w:ind w:firstLine="0" w:firstLineChars="0"/>
              <w:rPr>
                <w:rFonts w:asciiTheme="minorEastAsia" w:hAnsiTheme="minorEastAsia"/>
              </w:rPr>
            </w:pPr>
            <w:r>
              <w:rPr>
                <w:rFonts w:asciiTheme="minorEastAsia" w:hAnsiTheme="minorEastAsia"/>
              </w:rPr>
              <w:t>项目名称:</w:t>
            </w:r>
            <w:r>
              <w:rPr>
                <w:rFonts w:hint="eastAsia" w:asciiTheme="minorEastAsia" w:hAnsiTheme="minorEastAsia"/>
              </w:rPr>
              <w:t>知识产权管理系统租赁服务</w:t>
            </w:r>
          </w:p>
          <w:p>
            <w:pPr>
              <w:ind w:firstLine="0" w:firstLineChars="0"/>
              <w:rPr>
                <w:rFonts w:asciiTheme="minorEastAsia" w:hAnsiTheme="minorEastAsia"/>
              </w:rPr>
            </w:pPr>
            <w:r>
              <w:rPr>
                <w:rFonts w:asciiTheme="minorEastAsia" w:hAnsiTheme="minorEastAsia"/>
              </w:rPr>
              <w:t>采购人名称:</w:t>
            </w:r>
            <w:r>
              <w:rPr>
                <w:rFonts w:hint="eastAsia" w:asciiTheme="minorEastAsia" w:hAnsiTheme="minorEastAsia"/>
              </w:rPr>
              <w:t>浙江水利水电学院</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23" w:type="dxa"/>
            <w:tcMar>
              <w:top w:w="0" w:type="dxa"/>
              <w:left w:w="108" w:type="dxa"/>
              <w:bottom w:w="0" w:type="dxa"/>
              <w:right w:w="108" w:type="dxa"/>
            </w:tcMar>
            <w:vAlign w:val="center"/>
          </w:tcPr>
          <w:p>
            <w:pPr>
              <w:ind w:firstLine="480"/>
              <w:jc w:val="center"/>
              <w:rPr>
                <w:rFonts w:asciiTheme="minorEastAsia" w:hAnsiTheme="minorEastAsia"/>
              </w:rPr>
            </w:pPr>
            <w:r>
              <w:rPr>
                <w:rFonts w:hint="eastAsia" w:asciiTheme="minorEastAsia" w:hAnsiTheme="minorEastAsia"/>
              </w:rPr>
              <w:t>2</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vAlign w:val="center"/>
          </w:tcPr>
          <w:p>
            <w:pPr>
              <w:ind w:firstLine="0" w:firstLineChars="0"/>
              <w:rPr>
                <w:rFonts w:asciiTheme="minorEastAsia" w:hAnsiTheme="minorEastAsia"/>
              </w:rPr>
            </w:pPr>
            <w:r>
              <w:rPr>
                <w:rFonts w:hint="eastAsia" w:asciiTheme="minorEastAsia" w:hAnsiTheme="minorEastAsia"/>
              </w:rPr>
              <w:t>本项目的最高限价为</w:t>
            </w:r>
            <w:r>
              <w:rPr>
                <w:rFonts w:hint="eastAsia" w:asciiTheme="minorEastAsia" w:hAnsiTheme="minorEastAsia"/>
                <w:highlight w:val="none"/>
              </w:rPr>
              <w:t xml:space="preserve">:人民币 </w:t>
            </w:r>
            <w:r>
              <w:rPr>
                <w:rFonts w:hint="eastAsia" w:asciiTheme="minorEastAsia" w:hAnsiTheme="minorEastAsia"/>
                <w:highlight w:val="none"/>
                <w:lang w:val="en-US" w:eastAsia="zh-CN"/>
              </w:rPr>
              <w:t>9.5</w:t>
            </w:r>
            <w:r>
              <w:rPr>
                <w:rFonts w:hint="eastAsia" w:asciiTheme="minorEastAsia" w:hAnsiTheme="minorEastAsia"/>
                <w:highlight w:val="none"/>
              </w:rPr>
              <w:t>万元</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23" w:type="dxa"/>
            <w:tcMar>
              <w:top w:w="0" w:type="dxa"/>
              <w:left w:w="108" w:type="dxa"/>
              <w:bottom w:w="0" w:type="dxa"/>
              <w:right w:w="108" w:type="dxa"/>
            </w:tcMar>
            <w:vAlign w:val="center"/>
          </w:tcPr>
          <w:p>
            <w:pPr>
              <w:ind w:firstLine="480"/>
              <w:jc w:val="center"/>
              <w:rPr>
                <w:rFonts w:asciiTheme="minorEastAsia" w:hAnsiTheme="minorEastAsia"/>
              </w:rPr>
            </w:pPr>
            <w:r>
              <w:rPr>
                <w:rFonts w:hint="eastAsia" w:asciiTheme="minorEastAsia" w:hAnsiTheme="minorEastAsia"/>
              </w:rPr>
              <w:t>3</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vAlign w:val="center"/>
          </w:tcPr>
          <w:p>
            <w:pPr>
              <w:ind w:firstLine="0" w:firstLineChars="0"/>
              <w:rPr>
                <w:rFonts w:asciiTheme="minorEastAsia" w:hAnsiTheme="minorEastAsia"/>
              </w:rPr>
            </w:pPr>
            <w:r>
              <w:rPr>
                <w:rFonts w:asciiTheme="minorEastAsia" w:hAnsiTheme="minorEastAsia"/>
              </w:rPr>
              <w:t>资格标准:</w:t>
            </w:r>
            <w:r>
              <w:rPr>
                <w:rFonts w:hint="eastAsia" w:asciiTheme="minorEastAsia" w:hAnsiTheme="minorEastAsia"/>
              </w:rPr>
              <w:t>详见《供应商</w:t>
            </w:r>
            <w:r>
              <w:rPr>
                <w:rFonts w:asciiTheme="minorEastAsia" w:hAnsiTheme="minorEastAsia"/>
              </w:rPr>
              <w:t>须知前附表2</w:t>
            </w:r>
            <w:r>
              <w:rPr>
                <w:rFonts w:hint="eastAsia" w:asciiTheme="minorEastAsia" w:hAnsiTheme="minorEastAsia"/>
              </w:rPr>
              <w:t>》的“资格性要求”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23" w:type="dxa"/>
            <w:tcMar>
              <w:top w:w="0" w:type="dxa"/>
              <w:left w:w="108" w:type="dxa"/>
              <w:bottom w:w="0" w:type="dxa"/>
              <w:right w:w="108" w:type="dxa"/>
            </w:tcMar>
            <w:vAlign w:val="center"/>
          </w:tcPr>
          <w:p>
            <w:pPr>
              <w:ind w:firstLine="480"/>
              <w:jc w:val="center"/>
              <w:rPr>
                <w:rFonts w:asciiTheme="minorEastAsia" w:hAnsiTheme="minorEastAsia"/>
              </w:rPr>
            </w:pPr>
            <w:r>
              <w:rPr>
                <w:rFonts w:hint="eastAsia" w:asciiTheme="minorEastAsia" w:hAnsiTheme="minorEastAsia"/>
              </w:rPr>
              <w:t>4</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vAlign w:val="center"/>
          </w:tcPr>
          <w:p>
            <w:pPr>
              <w:ind w:firstLine="0" w:firstLineChars="0"/>
              <w:rPr>
                <w:rFonts w:hint="eastAsia" w:asciiTheme="minorEastAsia" w:hAnsiTheme="minorEastAsia"/>
                <w:color w:val="auto"/>
                <w:highlight w:val="none"/>
              </w:rPr>
            </w:pPr>
            <w:r>
              <w:rPr>
                <w:rFonts w:hint="eastAsia" w:asciiTheme="minorEastAsia" w:hAnsiTheme="minorEastAsia"/>
              </w:rPr>
              <w:t>响应文件提交地址:</w:t>
            </w:r>
            <w:r>
              <w:rPr>
                <w:rFonts w:hint="eastAsia" w:asciiTheme="minorEastAsia" w:hAnsiTheme="minorEastAsia"/>
                <w:color w:val="auto"/>
                <w:highlight w:val="none"/>
              </w:rPr>
              <w:t>详见</w:t>
            </w:r>
            <w:r>
              <w:rPr>
                <w:rFonts w:hint="eastAsia" w:asciiTheme="minorEastAsia" w:hAnsiTheme="minorEastAsia"/>
                <w:color w:val="auto"/>
                <w:highlight w:val="none"/>
                <w:lang w:val="en-US" w:eastAsia="zh-CN"/>
              </w:rPr>
              <w:t>公告</w:t>
            </w:r>
            <w:r>
              <w:rPr>
                <w:rFonts w:hint="eastAsia" w:asciiTheme="minorEastAsia" w:hAnsiTheme="minorEastAsia"/>
                <w:color w:val="auto"/>
                <w:highlight w:val="none"/>
              </w:rPr>
              <w:t>竞价文件的领取</w:t>
            </w:r>
          </w:p>
          <w:p>
            <w:pPr>
              <w:ind w:firstLine="0" w:firstLineChars="0"/>
              <w:rPr>
                <w:rFonts w:asciiTheme="minorEastAsia" w:hAnsiTheme="minorEastAsia"/>
              </w:rPr>
            </w:pPr>
            <w:r>
              <w:rPr>
                <w:rFonts w:hint="eastAsia" w:asciiTheme="minorEastAsia" w:hAnsiTheme="minorEastAsia"/>
                <w:color w:val="auto"/>
                <w:highlight w:val="none"/>
              </w:rPr>
              <w:t>响应文件提交截止时间:详见</w:t>
            </w:r>
            <w:r>
              <w:rPr>
                <w:rFonts w:hint="eastAsia" w:asciiTheme="minorEastAsia" w:hAnsiTheme="minorEastAsia"/>
                <w:color w:val="auto"/>
                <w:highlight w:val="none"/>
                <w:lang w:val="en-US" w:eastAsia="zh-CN"/>
              </w:rPr>
              <w:t>公告</w:t>
            </w:r>
            <w:r>
              <w:rPr>
                <w:rFonts w:hint="eastAsia" w:ascii="宋体" w:hAnsi="宋体" w:eastAsia="宋体" w:cs="宋体"/>
                <w:i w:val="0"/>
                <w:iCs w:val="0"/>
                <w:caps w:val="0"/>
                <w:color w:val="auto"/>
                <w:spacing w:val="0"/>
                <w:sz w:val="24"/>
                <w:szCs w:val="24"/>
                <w:highlight w:val="none"/>
                <w:shd w:val="clear" w:fill="FFFFFF"/>
              </w:rPr>
              <w:t>竞价文件的领取</w:t>
            </w:r>
          </w:p>
          <w:p>
            <w:pPr>
              <w:ind w:firstLine="0" w:firstLineChars="0"/>
              <w:rPr>
                <w:rFonts w:asciiTheme="minorEastAsia" w:hAnsiTheme="minorEastAsia"/>
              </w:rPr>
            </w:pPr>
            <w:r>
              <w:rPr>
                <w:rFonts w:hint="eastAsia" w:asciiTheme="minorEastAsia" w:hAnsiTheme="minorEastAsia"/>
              </w:rPr>
              <w:t>在响应文件提交截止时间后提交的响应文件，</w:t>
            </w:r>
            <w:r>
              <w:rPr>
                <w:rFonts w:hint="eastAsia" w:asciiTheme="minorEastAsia" w:hAnsiTheme="minorEastAsia"/>
                <w:lang w:val="en-US" w:eastAsia="zh-CN"/>
              </w:rPr>
              <w:t>学校</w:t>
            </w:r>
            <w:r>
              <w:rPr>
                <w:rFonts w:hint="eastAsia" w:asciiTheme="minorEastAsia" w:hAnsiTheme="minorEastAsia"/>
              </w:rPr>
              <w:t>将不予接收。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0" w:hRule="atLeast"/>
          <w:jc w:val="center"/>
        </w:trPr>
        <w:tc>
          <w:tcPr>
            <w:tcW w:w="823" w:type="dxa"/>
            <w:tcMar>
              <w:top w:w="0" w:type="dxa"/>
              <w:left w:w="108" w:type="dxa"/>
              <w:bottom w:w="0" w:type="dxa"/>
              <w:right w:w="108" w:type="dxa"/>
            </w:tcMar>
            <w:vAlign w:val="center"/>
          </w:tcPr>
          <w:p>
            <w:pPr>
              <w:ind w:firstLine="480"/>
              <w:jc w:val="center"/>
              <w:rPr>
                <w:rFonts w:hint="eastAsia" w:asciiTheme="minorEastAsia" w:hAnsiTheme="minorEastAsia" w:eastAsiaTheme="minorEastAsia"/>
                <w:lang w:eastAsia="zh-CN"/>
              </w:rPr>
            </w:pPr>
            <w:r>
              <w:rPr>
                <w:rFonts w:hint="eastAsia" w:asciiTheme="minorEastAsia" w:hAnsiTheme="minorEastAsia"/>
                <w:lang w:val="en-US" w:eastAsia="zh-CN"/>
              </w:rPr>
              <w:t>5</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密封竞价规则</w:t>
            </w:r>
            <w:r>
              <w:rPr>
                <w:rFonts w:asciiTheme="minorEastAsia" w:hAnsiTheme="minorEastAsia"/>
              </w:rPr>
              <w:t>、</w:t>
            </w:r>
            <w:r>
              <w:rPr>
                <w:rFonts w:hint="eastAsia" w:asciiTheme="minorEastAsia" w:hAnsiTheme="minorEastAsia"/>
              </w:rPr>
              <w:t>评审</w:t>
            </w:r>
            <w:r>
              <w:rPr>
                <w:rFonts w:asciiTheme="minorEastAsia" w:hAnsiTheme="minorEastAsia"/>
              </w:rPr>
              <w:t>标准及</w:t>
            </w:r>
            <w:r>
              <w:rPr>
                <w:rFonts w:hint="eastAsia" w:asciiTheme="minorEastAsia" w:hAnsiTheme="minorEastAsia"/>
              </w:rPr>
              <w:t>确定成交供应商</w:t>
            </w:r>
            <w:r>
              <w:rPr>
                <w:rFonts w:asciiTheme="minorEastAsia" w:hAnsiTheme="minorEastAsia"/>
              </w:rPr>
              <w:t>原则</w:t>
            </w:r>
            <w:r>
              <w:rPr>
                <w:rFonts w:hint="eastAsia" w:asciiTheme="minorEastAsia" w:hAnsiTheme="minorEastAsia"/>
              </w:rPr>
              <w:t>:</w:t>
            </w:r>
            <w:r>
              <w:rPr>
                <w:rFonts w:asciiTheme="minorEastAsia" w:hAnsiTheme="minorEastAsia"/>
              </w:rPr>
              <w:t>详见</w:t>
            </w:r>
            <w:r>
              <w:rPr>
                <w:rFonts w:hint="eastAsia" w:asciiTheme="minorEastAsia" w:hAnsiTheme="minorEastAsia"/>
              </w:rPr>
              <w:t>《</w:t>
            </w:r>
            <w:r>
              <w:rPr>
                <w:rFonts w:asciiTheme="minorEastAsia" w:hAnsiTheme="minorEastAsia"/>
              </w:rPr>
              <w:t>供应商须知前附表3</w:t>
            </w:r>
            <w:r>
              <w:rPr>
                <w:rFonts w:hint="eastAsia" w:asciiTheme="minorEastAsia" w:hAnsiTheme="minorEastAsia"/>
              </w:rPr>
              <w:t>》</w:t>
            </w:r>
            <w:r>
              <w:rPr>
                <w:rFonts w:asciiTheme="minorEastAsia" w:hAnsiTheme="minorEastAsia"/>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23" w:type="dxa"/>
            <w:tcMar>
              <w:top w:w="0" w:type="dxa"/>
              <w:left w:w="108" w:type="dxa"/>
              <w:bottom w:w="0" w:type="dxa"/>
              <w:right w:w="108" w:type="dxa"/>
            </w:tcMar>
            <w:vAlign w:val="center"/>
          </w:tcPr>
          <w:p>
            <w:pPr>
              <w:ind w:firstLine="480"/>
              <w:jc w:val="center"/>
              <w:rPr>
                <w:rFonts w:hint="eastAsia" w:asciiTheme="minorEastAsia" w:hAnsiTheme="minorEastAsia" w:eastAsiaTheme="minorEastAsia"/>
                <w:lang w:eastAsia="zh-CN"/>
              </w:rPr>
            </w:pPr>
            <w:r>
              <w:rPr>
                <w:rFonts w:hint="eastAsia" w:asciiTheme="minorEastAsia" w:hAnsiTheme="minorEastAsia"/>
                <w:lang w:val="en-US" w:eastAsia="zh-CN"/>
              </w:rPr>
              <w:t>6</w:t>
            </w:r>
          </w:p>
        </w:tc>
        <w:tc>
          <w:tcPr>
            <w:tcW w:w="986" w:type="dxa"/>
            <w:tcMar>
              <w:top w:w="0" w:type="dxa"/>
              <w:left w:w="108" w:type="dxa"/>
              <w:bottom w:w="0" w:type="dxa"/>
              <w:right w:w="108" w:type="dxa"/>
            </w:tcMar>
            <w:vAlign w:val="center"/>
          </w:tcPr>
          <w:p>
            <w:pPr>
              <w:ind w:firstLine="480"/>
              <w:jc w:val="center"/>
              <w:rPr>
                <w:rFonts w:asciiTheme="minorEastAsia" w:hAnsiTheme="minorEastAsia"/>
              </w:rPr>
            </w:pPr>
          </w:p>
        </w:tc>
        <w:tc>
          <w:tcPr>
            <w:tcW w:w="6719" w:type="dxa"/>
            <w:tcMar>
              <w:top w:w="0" w:type="dxa"/>
              <w:left w:w="108" w:type="dxa"/>
              <w:bottom w:w="0" w:type="dxa"/>
              <w:right w:w="108" w:type="dxa"/>
            </w:tcMar>
            <w:vAlign w:val="center"/>
          </w:tcPr>
          <w:p>
            <w:pPr>
              <w:ind w:firstLine="0" w:firstLineChars="0"/>
              <w:rPr>
                <w:rFonts w:asciiTheme="minorEastAsia" w:hAnsiTheme="minorEastAsia"/>
              </w:rPr>
            </w:pPr>
            <w:r>
              <w:rPr>
                <w:rFonts w:hint="eastAsia" w:asciiTheme="minorEastAsia" w:hAnsiTheme="minorEastAsia"/>
              </w:rPr>
              <w:t>合同签订:</w:t>
            </w:r>
          </w:p>
          <w:p>
            <w:pPr>
              <w:ind w:firstLine="0" w:firstLineChars="0"/>
              <w:rPr>
                <w:rFonts w:asciiTheme="minorEastAsia" w:hAnsiTheme="minorEastAsia"/>
              </w:rPr>
            </w:pPr>
            <w:r>
              <w:rPr>
                <w:rFonts w:hint="eastAsia" w:cs="宋体" w:asciiTheme="minorEastAsia" w:hAnsiTheme="minorEastAsia"/>
                <w:kern w:val="0"/>
              </w:rPr>
              <w:t>成交供应商须在结果公告发布后5个工作日内将合同初稿发至采购人邮箱并电话告知采购人进行合同电子版初审，且必须于结果公告发布后10个工作日内持成交通知书、履约及维护保证金底单至采购人处与采购人签订合同，否则采购人有权取消其成交资格。若因特殊情况无法在规定的期限内签订合同的，须事先征得采购人的同意，并在采购人要求的期限内签订合同，否则采购人有权取消成交供应商的成交资格。招标文件、成交供应商的响应文件均作为合同订立的基础。</w:t>
            </w:r>
          </w:p>
        </w:tc>
      </w:tr>
    </w:tbl>
    <w:p>
      <w:pPr>
        <w:widowControl/>
        <w:snapToGrid w:val="0"/>
        <w:ind w:firstLine="361"/>
        <w:jc w:val="center"/>
        <w:rPr>
          <w:rFonts w:cs="宋体" w:asciiTheme="minorEastAsia" w:hAnsiTheme="minorEastAsia"/>
          <w:kern w:val="0"/>
          <w:sz w:val="18"/>
          <w:szCs w:val="18"/>
        </w:rPr>
      </w:pPr>
      <w:r>
        <w:rPr>
          <w:rFonts w:cs="宋体" w:asciiTheme="minorEastAsia" w:hAnsiTheme="minorEastAsia"/>
          <w:b/>
          <w:bCs/>
          <w:kern w:val="0"/>
          <w:sz w:val="18"/>
        </w:rPr>
        <w:t> </w:t>
      </w:r>
    </w:p>
    <w:p>
      <w:pPr>
        <w:pStyle w:val="5"/>
        <w:numPr>
          <w:ilvl w:val="0"/>
          <w:numId w:val="0"/>
        </w:numPr>
        <w:rPr>
          <w:rFonts w:asciiTheme="minorEastAsia" w:hAnsiTheme="minorEastAsia" w:eastAsiaTheme="minorEastAsia"/>
        </w:rPr>
      </w:pPr>
      <w:bookmarkStart w:id="6" w:name="_Toc398504591"/>
      <w:bookmarkStart w:id="7" w:name="_Toc398284535"/>
      <w:bookmarkStart w:id="8" w:name="_Toc107413187"/>
      <w:bookmarkStart w:id="9" w:name="_Toc168300555"/>
      <w:bookmarkStart w:id="10" w:name="_Toc431190639"/>
      <w:r>
        <w:rPr>
          <w:rFonts w:hint="eastAsia" w:asciiTheme="minorEastAsia" w:hAnsiTheme="minorEastAsia" w:eastAsiaTheme="minorEastAsia"/>
        </w:rPr>
        <w:t>（二）</w:t>
      </w:r>
      <w:r>
        <w:rPr>
          <w:rFonts w:asciiTheme="minorEastAsia" w:hAnsiTheme="minorEastAsia" w:eastAsiaTheme="minorEastAsia"/>
        </w:rPr>
        <w:t>供应商须知前附表2</w:t>
      </w:r>
      <w:r>
        <w:rPr>
          <w:rFonts w:hint="eastAsia" w:asciiTheme="minorEastAsia" w:hAnsiTheme="minorEastAsia" w:eastAsiaTheme="minorEastAsia"/>
        </w:rPr>
        <w:t>:</w:t>
      </w:r>
      <w:r>
        <w:rPr>
          <w:rFonts w:asciiTheme="minorEastAsia" w:hAnsiTheme="minorEastAsia" w:eastAsiaTheme="minorEastAsia"/>
        </w:rPr>
        <w:t>资格性、符合性检查表</w:t>
      </w:r>
      <w:bookmarkEnd w:id="6"/>
      <w:bookmarkEnd w:id="7"/>
      <w:bookmarkEnd w:id="8"/>
      <w:bookmarkEnd w:id="9"/>
      <w:bookmarkEnd w:id="10"/>
    </w:p>
    <w:p>
      <w:pPr>
        <w:tabs>
          <w:tab w:val="left" w:pos="1080"/>
        </w:tabs>
        <w:ind w:firstLine="480"/>
        <w:rPr>
          <w:rFonts w:asciiTheme="minorEastAsia" w:hAnsiTheme="minorEastAsia"/>
          <w:color w:val="000000"/>
        </w:rPr>
      </w:pPr>
      <w:r>
        <w:rPr>
          <w:rFonts w:asciiTheme="minorEastAsia" w:hAnsiTheme="minorEastAsia"/>
          <w:color w:val="000000"/>
        </w:rPr>
        <w:t>本须知前附表2集中列示了资格性、符合性检查的所有条款，其内容是</w:t>
      </w:r>
      <w:r>
        <w:rPr>
          <w:rFonts w:hint="eastAsia" w:asciiTheme="minorEastAsia" w:hAnsiTheme="minorEastAsia"/>
          <w:color w:val="000000"/>
        </w:rPr>
        <w:t>密封竞价小组</w:t>
      </w:r>
      <w:r>
        <w:rPr>
          <w:rFonts w:asciiTheme="minorEastAsia" w:hAnsiTheme="minorEastAsia"/>
          <w:color w:val="000000"/>
        </w:rPr>
        <w:t>判断供应商的</w:t>
      </w:r>
      <w:r>
        <w:rPr>
          <w:rFonts w:hint="eastAsia" w:asciiTheme="minorEastAsia" w:hAnsiTheme="minorEastAsia"/>
          <w:color w:val="000000"/>
        </w:rPr>
        <w:t>报价</w:t>
      </w:r>
      <w:r>
        <w:rPr>
          <w:rFonts w:asciiTheme="minorEastAsia" w:hAnsiTheme="minorEastAsia"/>
          <w:color w:val="000000"/>
        </w:rPr>
        <w:t>是否有效的重要依据。 </w:t>
      </w:r>
    </w:p>
    <w:tbl>
      <w:tblPr>
        <w:tblStyle w:val="36"/>
        <w:tblW w:w="4917"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0" w:type="dxa"/>
          <w:bottom w:w="0" w:type="dxa"/>
          <w:right w:w="0" w:type="dxa"/>
        </w:tblCellMar>
      </w:tblPr>
      <w:tblGrid>
        <w:gridCol w:w="460"/>
        <w:gridCol w:w="1018"/>
        <w:gridCol w:w="690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cs="宋体" w:asciiTheme="minorEastAsia" w:hAnsiTheme="minorEastAsia"/>
                <w:kern w:val="0"/>
              </w:rPr>
              <w:t>项号</w:t>
            </w:r>
          </w:p>
        </w:tc>
        <w:tc>
          <w:tcPr>
            <w:tcW w:w="607"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cs="宋体" w:asciiTheme="minorEastAsia" w:hAnsiTheme="minorEastAsia"/>
                <w:kern w:val="0"/>
              </w:rPr>
              <w:t>条款号</w:t>
            </w:r>
          </w:p>
        </w:tc>
        <w:tc>
          <w:tcPr>
            <w:tcW w:w="4119" w:type="pct"/>
            <w:tcMar>
              <w:top w:w="0" w:type="dxa"/>
              <w:left w:w="108" w:type="dxa"/>
              <w:bottom w:w="0" w:type="dxa"/>
              <w:right w:w="108" w:type="dxa"/>
            </w:tcMar>
            <w:vAlign w:val="center"/>
          </w:tcPr>
          <w:p>
            <w:pPr>
              <w:widowControl/>
              <w:ind w:firstLine="0" w:firstLineChars="0"/>
              <w:jc w:val="center"/>
              <w:rPr>
                <w:rFonts w:cs="宋体" w:asciiTheme="minorEastAsia" w:hAnsiTheme="minorEastAsia"/>
                <w:kern w:val="0"/>
                <w:sz w:val="18"/>
                <w:szCs w:val="18"/>
              </w:rPr>
            </w:pPr>
            <w:r>
              <w:rPr>
                <w:rFonts w:cs="宋体" w:asciiTheme="minorEastAsia" w:hAnsiTheme="minorEastAsia"/>
                <w:kern w:val="0"/>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cs="宋体" w:asciiTheme="minorEastAsia" w:hAnsiTheme="minorEastAsia"/>
                <w:kern w:val="0"/>
              </w:rPr>
              <w:t>1</w:t>
            </w:r>
          </w:p>
        </w:tc>
        <w:tc>
          <w:tcPr>
            <w:tcW w:w="607" w:type="pct"/>
            <w:tcMar>
              <w:top w:w="0" w:type="dxa"/>
              <w:left w:w="108" w:type="dxa"/>
              <w:bottom w:w="0" w:type="dxa"/>
              <w:right w:w="108" w:type="dxa"/>
            </w:tcMar>
            <w:vAlign w:val="center"/>
          </w:tcPr>
          <w:p>
            <w:pPr>
              <w:widowControl/>
              <w:ind w:firstLine="360"/>
              <w:jc w:val="center"/>
              <w:rPr>
                <w:rFonts w:cs="宋体" w:asciiTheme="minorEastAsia" w:hAnsiTheme="minorEastAsia"/>
                <w:kern w:val="0"/>
                <w:sz w:val="18"/>
                <w:szCs w:val="18"/>
              </w:rPr>
            </w:pPr>
          </w:p>
        </w:tc>
        <w:tc>
          <w:tcPr>
            <w:tcW w:w="4119" w:type="pct"/>
            <w:tcMar>
              <w:top w:w="0" w:type="dxa"/>
              <w:left w:w="108" w:type="dxa"/>
              <w:bottom w:w="0" w:type="dxa"/>
              <w:right w:w="108" w:type="dxa"/>
            </w:tcMar>
          </w:tcPr>
          <w:p>
            <w:pPr>
              <w:ind w:firstLine="0" w:firstLineChars="0"/>
              <w:rPr>
                <w:rFonts w:hint="eastAsia" w:asciiTheme="minorEastAsia" w:hAnsiTheme="minorEastAsia" w:eastAsiaTheme="minorEastAsia"/>
                <w:lang w:eastAsia="zh-CN"/>
              </w:rPr>
            </w:pPr>
            <w:r>
              <w:rPr>
                <w:rFonts w:asciiTheme="minorEastAsia" w:hAnsiTheme="minorEastAsia"/>
              </w:rPr>
              <w:t>合格的供应商</w:t>
            </w:r>
            <w:r>
              <w:rPr>
                <w:rFonts w:hint="eastAsia" w:asciiTheme="minorEastAsia" w:hAnsiTheme="minorEastAsia"/>
              </w:rPr>
              <w:t>:</w:t>
            </w:r>
            <w:r>
              <w:rPr>
                <w:rFonts w:asciiTheme="minorEastAsia" w:hAnsiTheme="minorEastAsia"/>
              </w:rPr>
              <w:t>具体内容详</w:t>
            </w:r>
            <w:r>
              <w:rPr>
                <w:rFonts w:asciiTheme="minorEastAsia" w:hAnsiTheme="minorEastAsia"/>
                <w:highlight w:val="none"/>
              </w:rPr>
              <w:t>见</w:t>
            </w:r>
            <w:r>
              <w:rPr>
                <w:rFonts w:hint="eastAsia" w:asciiTheme="minorEastAsia" w:hAnsiTheme="minorEastAsia"/>
                <w:highlight w:val="none"/>
                <w:lang w:val="en-US" w:eastAsia="zh-CN"/>
              </w:rPr>
              <w:t>公告</w:t>
            </w:r>
            <w:r>
              <w:rPr>
                <w:rFonts w:hint="eastAsia" w:asciiTheme="minorEastAsia" w:hAnsiTheme="minorEastAsia"/>
                <w:highlight w:val="none"/>
              </w:rPr>
              <w:t>价供应商资格要求</w:t>
            </w:r>
            <w:r>
              <w:rPr>
                <w:rFonts w:hint="eastAsia" w:asciiTheme="minorEastAsia" w:hAnsiTheme="minorEastAsia"/>
                <w:highlight w:val="none"/>
                <w:lang w:val="en-US"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hint="eastAsia" w:cs="宋体" w:asciiTheme="minorEastAsia" w:hAnsiTheme="minorEastAsia"/>
                <w:kern w:val="0"/>
              </w:rPr>
              <w:t>2</w:t>
            </w:r>
          </w:p>
        </w:tc>
        <w:tc>
          <w:tcPr>
            <w:tcW w:w="607" w:type="pct"/>
            <w:tcMar>
              <w:top w:w="0" w:type="dxa"/>
              <w:left w:w="108" w:type="dxa"/>
              <w:bottom w:w="0" w:type="dxa"/>
              <w:right w:w="108" w:type="dxa"/>
            </w:tcMar>
            <w:vAlign w:val="center"/>
          </w:tcPr>
          <w:p>
            <w:pPr>
              <w:widowControl/>
              <w:ind w:firstLine="480"/>
              <w:jc w:val="center"/>
              <w:rPr>
                <w:rFonts w:cs="宋体" w:asciiTheme="minorEastAsia" w:hAnsiTheme="minorEastAsia"/>
                <w:kern w:val="0"/>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供应商应当具备《中华人民共和国政府采购法》第二十二条第一款规定的基本条件，并提供下列证明材料:</w:t>
            </w:r>
          </w:p>
          <w:p>
            <w:pPr>
              <w:ind w:firstLine="0" w:firstLineChars="0"/>
              <w:rPr>
                <w:rFonts w:asciiTheme="minorEastAsia" w:hAnsiTheme="minorEastAsia"/>
              </w:rPr>
            </w:pPr>
            <w:r>
              <w:rPr>
                <w:rFonts w:hint="eastAsia" w:asciiTheme="minorEastAsia" w:hAnsiTheme="minorEastAsia"/>
              </w:rPr>
              <w:t>(一)法人或者其他组织的营业执照等证明文件，自然人的身份证明；</w:t>
            </w:r>
          </w:p>
          <w:p>
            <w:pPr>
              <w:ind w:firstLine="0" w:firstLineChars="0"/>
              <w:rPr>
                <w:rFonts w:asciiTheme="minorEastAsia" w:hAnsiTheme="minorEastAsia"/>
              </w:rPr>
            </w:pPr>
            <w:r>
              <w:rPr>
                <w:rFonts w:hint="eastAsia" w:asciiTheme="minorEastAsia" w:hAnsiTheme="minorEastAsia"/>
              </w:rPr>
              <w:t>(二)财务状况报告，依法缴纳税收和社会保障资金的相关材料。</w:t>
            </w:r>
          </w:p>
          <w:p>
            <w:pPr>
              <w:ind w:firstLine="0" w:firstLineChars="0"/>
              <w:rPr>
                <w:rFonts w:asciiTheme="minorEastAsia" w:hAnsiTheme="minorEastAsia"/>
              </w:rPr>
            </w:pPr>
            <w:r>
              <w:rPr>
                <w:rFonts w:hint="eastAsia" w:asciiTheme="minorEastAsia" w:hAnsiTheme="minorEastAsia"/>
              </w:rPr>
              <w:t>(三)具备履行合同所必需的设备和专业技术能力的证明材料。</w:t>
            </w:r>
          </w:p>
          <w:p>
            <w:pPr>
              <w:ind w:firstLine="0" w:firstLineChars="0"/>
              <w:rPr>
                <w:rFonts w:asciiTheme="minorEastAsia" w:hAnsiTheme="minorEastAsia"/>
              </w:rPr>
            </w:pPr>
            <w:r>
              <w:rPr>
                <w:rFonts w:hint="eastAsia" w:asciiTheme="minorEastAsia" w:hAnsiTheme="minorEastAsia"/>
              </w:rPr>
              <w:t>(四)参加政府采购活动前3年内在经营活动中没有重大违法记录的书面声明(或者在参加政府采购活动前3年内因违法经营被禁止在一定期限内参加政府采购活动，期限已届满)。</w:t>
            </w:r>
          </w:p>
          <w:p>
            <w:pPr>
              <w:ind w:firstLine="0" w:firstLineChars="0"/>
              <w:rPr>
                <w:rFonts w:asciiTheme="minorEastAsia" w:hAnsiTheme="minorEastAsia"/>
              </w:rPr>
            </w:pPr>
            <w:r>
              <w:rPr>
                <w:rFonts w:hint="eastAsia" w:asciiTheme="minorEastAsia" w:hAnsiTheme="minorEastAsia"/>
              </w:rPr>
              <w:t>(五)具备法律、行政法规规定的其他条件的证明材料。</w:t>
            </w:r>
          </w:p>
          <w:p>
            <w:pPr>
              <w:ind w:firstLine="0" w:firstLineChars="0"/>
              <w:rPr>
                <w:rFonts w:asciiTheme="minorEastAsia" w:hAnsiTheme="minorEastAsia"/>
                <w:b/>
              </w:rPr>
            </w:pPr>
            <w:r>
              <w:rPr>
                <w:rFonts w:hint="eastAsia" w:asciiTheme="minorEastAsia" w:hAnsiTheme="minorEastAsia"/>
                <w:b/>
              </w:rPr>
              <w:t>说明:</w:t>
            </w:r>
          </w:p>
          <w:p>
            <w:pPr>
              <w:ind w:firstLine="0" w:firstLineChars="0"/>
              <w:rPr>
                <w:rFonts w:asciiTheme="minorEastAsia" w:hAnsiTheme="minorEastAsia"/>
                <w:b/>
              </w:rPr>
            </w:pPr>
            <w:r>
              <w:rPr>
                <w:rFonts w:hint="eastAsia" w:asciiTheme="minorEastAsia" w:hAnsiTheme="minorEastAsia"/>
                <w:b/>
              </w:rPr>
              <w:t>供应商不满足上述规定的基本资格条件或提供资格证明文件不全的，将不被邀请为继续参加密封竞价的供应商，资格证明文件不接受密封竞价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rPr>
            </w:pPr>
            <w:r>
              <w:rPr>
                <w:rFonts w:hint="eastAsia" w:cs="宋体" w:asciiTheme="minorEastAsia" w:hAnsiTheme="minorEastAsia"/>
                <w:kern w:val="0"/>
              </w:rPr>
              <w:t>3</w:t>
            </w:r>
          </w:p>
        </w:tc>
        <w:tc>
          <w:tcPr>
            <w:tcW w:w="607" w:type="pct"/>
            <w:tcMar>
              <w:top w:w="0" w:type="dxa"/>
              <w:left w:w="108" w:type="dxa"/>
              <w:bottom w:w="0" w:type="dxa"/>
              <w:right w:w="108" w:type="dxa"/>
            </w:tcMar>
            <w:vAlign w:val="center"/>
          </w:tcPr>
          <w:p>
            <w:pPr>
              <w:widowControl/>
              <w:ind w:firstLine="480"/>
              <w:jc w:val="center"/>
              <w:rPr>
                <w:rFonts w:cs="宋体" w:asciiTheme="minorEastAsia" w:hAnsiTheme="minorEastAsia"/>
                <w:kern w:val="0"/>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采购人根据采购项目的要求规定的特定条件:</w:t>
            </w:r>
          </w:p>
          <w:p>
            <w:pPr>
              <w:ind w:firstLine="0" w:firstLineChars="0"/>
              <w:rPr>
                <w:rFonts w:asciiTheme="minorEastAsia" w:hAnsiTheme="minorEastAsia"/>
                <w:b/>
                <w:bCs/>
                <w:highlight w:val="none"/>
              </w:rPr>
            </w:pPr>
            <w:r>
              <w:rPr>
                <w:rFonts w:hint="eastAsia" w:asciiTheme="minorEastAsia" w:hAnsiTheme="minorEastAsia"/>
                <w:b/>
                <w:bCs/>
                <w:highlight w:val="none"/>
              </w:rPr>
              <w:t>无。</w:t>
            </w:r>
          </w:p>
          <w:p>
            <w:pPr>
              <w:ind w:firstLine="0" w:firstLineChars="0"/>
              <w:rPr>
                <w:rFonts w:asciiTheme="minorEastAsia" w:hAnsiTheme="minorEastAsia"/>
              </w:rPr>
            </w:pPr>
            <w:r>
              <w:rPr>
                <w:rFonts w:hint="eastAsia" w:asciiTheme="minorEastAsia" w:hAnsiTheme="minorEastAsia"/>
              </w:rPr>
              <w:t>供应商不满足上述规定的特定条件或提供证明文件不全的，将不被邀请为继续参加密封竞价的供应商，以上证明文件为复印件的，须加盖供应商公章，且原件备查。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rPr>
            </w:pPr>
            <w:r>
              <w:rPr>
                <w:rFonts w:hint="eastAsia" w:cs="宋体" w:asciiTheme="minorEastAsia" w:hAnsiTheme="minorEastAsia"/>
                <w:kern w:val="0"/>
              </w:rPr>
              <w:t>4</w:t>
            </w:r>
          </w:p>
        </w:tc>
        <w:tc>
          <w:tcPr>
            <w:tcW w:w="607" w:type="pct"/>
            <w:tcMar>
              <w:top w:w="0" w:type="dxa"/>
              <w:left w:w="108" w:type="dxa"/>
              <w:bottom w:w="0" w:type="dxa"/>
              <w:right w:w="108" w:type="dxa"/>
            </w:tcMar>
            <w:vAlign w:val="center"/>
          </w:tcPr>
          <w:p>
            <w:pPr>
              <w:widowControl/>
              <w:ind w:firstLine="480"/>
              <w:jc w:val="center"/>
              <w:rPr>
                <w:rFonts w:cs="宋体" w:asciiTheme="minorEastAsia" w:hAnsiTheme="minorEastAsia"/>
                <w:kern w:val="0"/>
              </w:rPr>
            </w:pPr>
          </w:p>
        </w:tc>
        <w:tc>
          <w:tcPr>
            <w:tcW w:w="4119" w:type="pct"/>
            <w:tcMar>
              <w:top w:w="0" w:type="dxa"/>
              <w:left w:w="108" w:type="dxa"/>
              <w:bottom w:w="0" w:type="dxa"/>
              <w:right w:w="108" w:type="dxa"/>
            </w:tcMar>
          </w:tcPr>
          <w:p>
            <w:pPr>
              <w:ind w:firstLine="480"/>
              <w:rPr>
                <w:rFonts w:asciiTheme="minorEastAsia" w:hAnsiTheme="minorEastAsia"/>
              </w:rPr>
            </w:pPr>
            <w:r>
              <w:rPr>
                <w:rFonts w:hint="eastAsia" w:asciiTheme="minorEastAsia" w:hAnsiTheme="minorEastAsia"/>
              </w:rPr>
              <w:t>□本项目接受联合体参与密封竞价。</w:t>
            </w:r>
          </w:p>
          <w:p>
            <w:pPr>
              <w:ind w:firstLine="482"/>
              <w:rPr>
                <w:rFonts w:asciiTheme="minorEastAsia" w:hAnsiTheme="minorEastAsia"/>
                <w:b/>
              </w:rPr>
            </w:pPr>
            <w:r>
              <w:rPr>
                <w:rFonts w:hint="eastAsia" w:asciiTheme="minorEastAsia" w:hAnsiTheme="minorEastAsia"/>
                <w:b/>
              </w:rPr>
              <w:sym w:font="Wingdings" w:char="F0FE"/>
            </w:r>
            <w:r>
              <w:rPr>
                <w:rFonts w:hint="eastAsia" w:asciiTheme="minorEastAsia" w:hAnsiTheme="minorEastAsia"/>
                <w:b/>
              </w:rPr>
              <w:t>本项目不接受联合体参与密封竞价，取消本文件有关对联合体的所有要求。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rPr>
            </w:pPr>
            <w:r>
              <w:rPr>
                <w:rFonts w:hint="eastAsia" w:cs="宋体" w:asciiTheme="minorEastAsia" w:hAnsiTheme="minorEastAsia"/>
                <w:kern w:val="0"/>
              </w:rPr>
              <w:t>5</w:t>
            </w:r>
          </w:p>
        </w:tc>
        <w:tc>
          <w:tcPr>
            <w:tcW w:w="607" w:type="pct"/>
            <w:tcMar>
              <w:top w:w="0" w:type="dxa"/>
              <w:left w:w="108" w:type="dxa"/>
              <w:bottom w:w="0" w:type="dxa"/>
              <w:right w:w="108" w:type="dxa"/>
            </w:tcMar>
            <w:vAlign w:val="center"/>
          </w:tcPr>
          <w:p>
            <w:pPr>
              <w:widowControl/>
              <w:ind w:firstLine="480"/>
              <w:jc w:val="center"/>
              <w:rPr>
                <w:rFonts w:cs="宋体" w:asciiTheme="minorEastAsia" w:hAnsiTheme="minorEastAsia"/>
                <w:kern w:val="0"/>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密封竞价代表是法定代表人，须提供法定代表人身份证复印件(正反面均需复印)；密封竞价代表若不是法定代表人，则必须提供法定代表人对密封竞价代表的授权书原件及密封竞价代表的身份证复印件(正反面均需复印)。</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rPr>
            </w:pPr>
            <w:r>
              <w:rPr>
                <w:rFonts w:hint="eastAsia" w:cs="宋体" w:asciiTheme="minorEastAsia" w:hAnsiTheme="minorEastAsia"/>
                <w:kern w:val="0"/>
              </w:rPr>
              <w:t>6</w:t>
            </w:r>
          </w:p>
        </w:tc>
        <w:tc>
          <w:tcPr>
            <w:tcW w:w="607" w:type="pct"/>
            <w:tcMar>
              <w:top w:w="0" w:type="dxa"/>
              <w:left w:w="108" w:type="dxa"/>
              <w:bottom w:w="0" w:type="dxa"/>
              <w:right w:w="108" w:type="dxa"/>
            </w:tcMar>
            <w:vAlign w:val="center"/>
          </w:tcPr>
          <w:p>
            <w:pPr>
              <w:widowControl/>
              <w:ind w:firstLine="480"/>
              <w:jc w:val="center"/>
              <w:rPr>
                <w:rFonts w:cs="宋体" w:asciiTheme="minorEastAsia" w:hAnsiTheme="minorEastAsia"/>
                <w:kern w:val="0"/>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asciiTheme="minorEastAsia" w:hAnsiTheme="minorEastAsia"/>
              </w:rPr>
              <w:t>在响应文件</w:t>
            </w:r>
            <w:r>
              <w:rPr>
                <w:rFonts w:hint="eastAsia" w:asciiTheme="minorEastAsia" w:hAnsiTheme="minorEastAsia"/>
              </w:rPr>
              <w:t>提</w:t>
            </w:r>
            <w:r>
              <w:rPr>
                <w:rFonts w:asciiTheme="minorEastAsia" w:hAnsiTheme="minorEastAsia"/>
              </w:rPr>
              <w:t>交截止时间后至评审前，</w:t>
            </w:r>
            <w:r>
              <w:rPr>
                <w:rFonts w:hint="eastAsia" w:asciiTheme="minorEastAsia" w:hAnsiTheme="minorEastAsia"/>
                <w:color w:val="auto"/>
                <w:lang w:val="en-US" w:eastAsia="zh-CN"/>
              </w:rPr>
              <w:t>学校</w:t>
            </w:r>
            <w:r>
              <w:rPr>
                <w:rFonts w:hint="eastAsia" w:asciiTheme="minorEastAsia" w:hAnsiTheme="minorEastAsia"/>
              </w:rPr>
              <w:t>将通过中国政府采购网(</w:t>
            </w:r>
            <w:r>
              <w:rPr>
                <w:rFonts w:asciiTheme="minorEastAsia" w:hAnsiTheme="minorEastAsia"/>
              </w:rPr>
              <w:t>http://www.ccgp.gov.cn</w:t>
            </w:r>
            <w:r>
              <w:rPr>
                <w:rFonts w:hint="eastAsia" w:asciiTheme="minorEastAsia" w:hAnsiTheme="minorEastAsia"/>
              </w:rPr>
              <w:t>)、“信用中国”网站(</w:t>
            </w:r>
            <w:r>
              <w:rPr>
                <w:rFonts w:asciiTheme="minorEastAsia" w:hAnsiTheme="minorEastAsia"/>
              </w:rPr>
              <w:t>www.creditchina.gov.cn</w:t>
            </w:r>
            <w:r>
              <w:rPr>
                <w:rFonts w:hint="eastAsia" w:asciiTheme="minorEastAsia" w:hAnsiTheme="minorEastAsia"/>
              </w:rPr>
              <w:t>)等渠道全面查询供应商截止评审当日前3年内的信用及违法记录。对参加政府采购活动前3年内在经营活动中有重大违法记录的供应商，将依法</w:t>
            </w:r>
            <w:r>
              <w:rPr>
                <w:rFonts w:asciiTheme="minorEastAsia" w:hAnsiTheme="minorEastAsia"/>
              </w:rPr>
              <w:t>拒绝邀请该供应商进行密封竞价</w:t>
            </w:r>
            <w:r>
              <w:rPr>
                <w:rFonts w:hint="eastAsia" w:asciiTheme="minorEastAsia" w:hAnsiTheme="minorEastAsia"/>
              </w:rPr>
              <w:t>。(“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cs="宋体" w:asciiTheme="minorEastAsia" w:hAnsiTheme="minorEastAsia"/>
                <w:kern w:val="0"/>
              </w:rPr>
              <w:t>项号</w:t>
            </w:r>
          </w:p>
        </w:tc>
        <w:tc>
          <w:tcPr>
            <w:tcW w:w="607"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cs="宋体" w:asciiTheme="minorEastAsia" w:hAnsiTheme="minorEastAsia"/>
                <w:kern w:val="0"/>
              </w:rPr>
              <w:t>条款号</w:t>
            </w:r>
          </w:p>
        </w:tc>
        <w:tc>
          <w:tcPr>
            <w:tcW w:w="4119" w:type="pct"/>
            <w:tcMar>
              <w:top w:w="0" w:type="dxa"/>
              <w:left w:w="108" w:type="dxa"/>
              <w:bottom w:w="0" w:type="dxa"/>
              <w:right w:w="108" w:type="dxa"/>
            </w:tcMar>
            <w:vAlign w:val="center"/>
          </w:tcPr>
          <w:p>
            <w:pPr>
              <w:widowControl/>
              <w:ind w:firstLine="0" w:firstLineChars="0"/>
              <w:jc w:val="center"/>
              <w:rPr>
                <w:rFonts w:cs="宋体" w:asciiTheme="minorEastAsia" w:hAnsiTheme="minorEastAsia"/>
                <w:kern w:val="0"/>
                <w:sz w:val="18"/>
                <w:szCs w:val="18"/>
              </w:rPr>
            </w:pPr>
            <w:r>
              <w:rPr>
                <w:rFonts w:cs="宋体" w:asciiTheme="minorEastAsia" w:hAnsiTheme="minorEastAsia"/>
                <w:kern w:val="0"/>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hint="eastAsia" w:cs="宋体" w:asciiTheme="minorEastAsia" w:hAnsiTheme="minorEastAsia"/>
                <w:kern w:val="0"/>
              </w:rPr>
              <w:t>1</w:t>
            </w:r>
          </w:p>
        </w:tc>
        <w:tc>
          <w:tcPr>
            <w:tcW w:w="607" w:type="pct"/>
            <w:tcMar>
              <w:top w:w="0" w:type="dxa"/>
              <w:left w:w="108" w:type="dxa"/>
              <w:bottom w:w="0" w:type="dxa"/>
              <w:right w:w="108" w:type="dxa"/>
            </w:tcMar>
            <w:vAlign w:val="center"/>
          </w:tcPr>
          <w:p>
            <w:pPr>
              <w:widowControl/>
              <w:ind w:firstLine="360"/>
              <w:jc w:val="center"/>
              <w:rPr>
                <w:rFonts w:cs="宋体" w:asciiTheme="minorEastAsia" w:hAnsiTheme="minorEastAsia"/>
                <w:kern w:val="0"/>
                <w:sz w:val="18"/>
                <w:szCs w:val="18"/>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密封竞价响应</w:t>
            </w:r>
            <w:r>
              <w:rPr>
                <w:rFonts w:asciiTheme="minorEastAsia" w:hAnsiTheme="minorEastAsia"/>
              </w:rPr>
              <w:t>有效期:</w:t>
            </w:r>
            <w:r>
              <w:rPr>
                <w:rFonts w:hint="eastAsia" w:asciiTheme="minorEastAsia" w:hAnsiTheme="minorEastAsia"/>
              </w:rPr>
              <w:t>首次响应文件须在提交首次响应文件</w:t>
            </w:r>
            <w:r>
              <w:rPr>
                <w:rFonts w:asciiTheme="minorEastAsia" w:hAnsiTheme="minorEastAsia"/>
              </w:rPr>
              <w:t>截止</w:t>
            </w:r>
            <w:r>
              <w:rPr>
                <w:rFonts w:hint="eastAsia" w:asciiTheme="minorEastAsia" w:hAnsiTheme="minorEastAsia"/>
              </w:rPr>
              <w:t>之日起90</w:t>
            </w:r>
            <w:r>
              <w:rPr>
                <w:rFonts w:asciiTheme="minorEastAsia" w:hAnsiTheme="minorEastAsia"/>
              </w:rPr>
              <w:t>个日历日</w:t>
            </w:r>
            <w:r>
              <w:rPr>
                <w:rFonts w:hint="eastAsia" w:asciiTheme="minorEastAsia" w:hAnsiTheme="minorEastAsia"/>
              </w:rPr>
              <w:t>内保持有效</w:t>
            </w:r>
            <w:r>
              <w:rPr>
                <w:rFonts w:asciiTheme="minorEastAsia" w:hAnsiTheme="minorEastAsia"/>
              </w:rPr>
              <w:t>。有效期不足将导致其</w:t>
            </w:r>
            <w:r>
              <w:rPr>
                <w:rFonts w:hint="eastAsia" w:asciiTheme="minorEastAsia" w:hAnsiTheme="minorEastAsia"/>
              </w:rPr>
              <w:t>响应</w:t>
            </w:r>
            <w:r>
              <w:rPr>
                <w:rFonts w:asciiTheme="minorEastAsia" w:hAnsiTheme="minorEastAsia"/>
              </w:rPr>
              <w:t>文件</w:t>
            </w:r>
            <w:r>
              <w:rPr>
                <w:rFonts w:asciiTheme="minorEastAsia" w:hAnsiTheme="minorEastAsia"/>
                <w:b/>
                <w:bCs/>
              </w:rPr>
              <w:t>被拒绝</w:t>
            </w:r>
            <w:r>
              <w:rPr>
                <w:rFonts w:asciiTheme="minorEastAsia" w:hAnsiTheme="minorEastAsia"/>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jc w:val="center"/>
        </w:trPr>
        <w:tc>
          <w:tcPr>
            <w:tcW w:w="274" w:type="pct"/>
            <w:tcMar>
              <w:top w:w="0" w:type="dxa"/>
              <w:left w:w="108" w:type="dxa"/>
              <w:bottom w:w="0" w:type="dxa"/>
              <w:right w:w="108" w:type="dxa"/>
            </w:tcMar>
            <w:vAlign w:val="center"/>
          </w:tcPr>
          <w:p>
            <w:pPr>
              <w:widowControl/>
              <w:ind w:firstLine="0" w:firstLineChars="0"/>
              <w:rPr>
                <w:rFonts w:cs="宋体" w:asciiTheme="minorEastAsia" w:hAnsiTheme="minorEastAsia"/>
                <w:kern w:val="0"/>
                <w:sz w:val="18"/>
                <w:szCs w:val="18"/>
              </w:rPr>
            </w:pPr>
            <w:r>
              <w:rPr>
                <w:rFonts w:hint="eastAsia" w:cs="宋体" w:asciiTheme="minorEastAsia" w:hAnsiTheme="minorEastAsia"/>
                <w:kern w:val="0"/>
              </w:rPr>
              <w:t>2</w:t>
            </w:r>
          </w:p>
        </w:tc>
        <w:tc>
          <w:tcPr>
            <w:tcW w:w="607" w:type="pct"/>
            <w:tcMar>
              <w:top w:w="0" w:type="dxa"/>
              <w:left w:w="108" w:type="dxa"/>
              <w:bottom w:w="0" w:type="dxa"/>
              <w:right w:w="108" w:type="dxa"/>
            </w:tcMar>
            <w:vAlign w:val="center"/>
          </w:tcPr>
          <w:p>
            <w:pPr>
              <w:widowControl/>
              <w:ind w:firstLine="360"/>
              <w:jc w:val="center"/>
              <w:rPr>
                <w:rFonts w:cs="宋体" w:asciiTheme="minorEastAsia" w:hAnsiTheme="minorEastAsia"/>
                <w:kern w:val="0"/>
                <w:sz w:val="18"/>
                <w:szCs w:val="18"/>
              </w:rPr>
            </w:pPr>
          </w:p>
        </w:tc>
        <w:tc>
          <w:tcPr>
            <w:tcW w:w="4119" w:type="pct"/>
            <w:tcMar>
              <w:top w:w="0" w:type="dxa"/>
              <w:left w:w="108" w:type="dxa"/>
              <w:bottom w:w="0" w:type="dxa"/>
              <w:right w:w="108" w:type="dxa"/>
            </w:tcMar>
          </w:tcPr>
          <w:p>
            <w:pPr>
              <w:ind w:firstLine="0" w:firstLineChars="0"/>
              <w:rPr>
                <w:rFonts w:asciiTheme="minorEastAsia" w:hAnsiTheme="minorEastAsia"/>
              </w:rPr>
            </w:pPr>
            <w:r>
              <w:rPr>
                <w:rFonts w:hint="eastAsia" w:asciiTheme="minorEastAsia" w:hAnsiTheme="minorEastAsia"/>
              </w:rPr>
              <w:t>供应商有</w:t>
            </w:r>
            <w:r>
              <w:rPr>
                <w:rFonts w:asciiTheme="minorEastAsia" w:hAnsiTheme="minorEastAsia"/>
              </w:rPr>
              <w:t>下列情况之一者，</w:t>
            </w:r>
            <w:r>
              <w:rPr>
                <w:rFonts w:hint="eastAsia" w:asciiTheme="minorEastAsia" w:hAnsiTheme="minorEastAsia"/>
              </w:rPr>
              <w:t>响应</w:t>
            </w:r>
            <w:r>
              <w:rPr>
                <w:rFonts w:asciiTheme="minorEastAsia" w:hAnsiTheme="minorEastAsia"/>
              </w:rPr>
              <w:t>文件将被视为未实质性响应</w:t>
            </w:r>
            <w:r>
              <w:rPr>
                <w:rFonts w:hint="eastAsia" w:asciiTheme="minorEastAsia" w:hAnsiTheme="minorEastAsia"/>
              </w:rPr>
              <w:t>密封竞价</w:t>
            </w:r>
            <w:r>
              <w:rPr>
                <w:rFonts w:asciiTheme="minorEastAsia" w:hAnsiTheme="minorEastAsia"/>
              </w:rPr>
              <w:t>文件要求</w:t>
            </w:r>
            <w:r>
              <w:rPr>
                <w:rFonts w:hint="eastAsia" w:asciiTheme="minorEastAsia" w:hAnsiTheme="minorEastAsia"/>
              </w:rPr>
              <w:t>:</w:t>
            </w:r>
          </w:p>
          <w:p>
            <w:pPr>
              <w:ind w:firstLine="0" w:firstLineChars="0"/>
              <w:rPr>
                <w:rFonts w:asciiTheme="minorEastAsia" w:hAnsiTheme="minorEastAsia"/>
              </w:rPr>
            </w:pPr>
            <w:r>
              <w:rPr>
                <w:rFonts w:hint="eastAsia" w:asciiTheme="minorEastAsia" w:hAnsiTheme="minorEastAsia"/>
              </w:rPr>
              <w:t>(1)响应文件未按照本须知规定进行密封、标记的；</w:t>
            </w:r>
          </w:p>
          <w:p>
            <w:pPr>
              <w:ind w:firstLine="0" w:firstLineChars="0"/>
              <w:rPr>
                <w:rFonts w:asciiTheme="minorEastAsia" w:hAnsiTheme="minorEastAsia"/>
              </w:rPr>
            </w:pPr>
            <w:r>
              <w:rPr>
                <w:rFonts w:hint="eastAsia" w:asciiTheme="minorEastAsia" w:hAnsiTheme="minorEastAsia"/>
              </w:rPr>
              <w:t>(2)未按规定由供应商的法定代表人或其授权代表签字；或未加盖供应商公章的；或授权代表未提供法定代表人有效授权委托书的；</w:t>
            </w:r>
          </w:p>
          <w:p>
            <w:pPr>
              <w:ind w:firstLine="0" w:firstLineChars="0"/>
              <w:rPr>
                <w:rFonts w:asciiTheme="minorEastAsia" w:hAnsiTheme="minorEastAsia"/>
              </w:rPr>
            </w:pPr>
            <w:r>
              <w:rPr>
                <w:rFonts w:hint="eastAsia" w:asciiTheme="minorEastAsia" w:hAnsiTheme="minorEastAsia"/>
              </w:rPr>
              <w:t>(3)密封竞价保证金未在提交首次响应文件截止时间前到达指定账号的；</w:t>
            </w:r>
          </w:p>
          <w:p>
            <w:pPr>
              <w:ind w:firstLine="0" w:firstLineChars="0"/>
              <w:rPr>
                <w:rFonts w:asciiTheme="minorEastAsia" w:hAnsiTheme="minorEastAsia"/>
              </w:rPr>
            </w:pPr>
            <w:r>
              <w:rPr>
                <w:rFonts w:hint="eastAsia" w:asciiTheme="minorEastAsia" w:hAnsiTheme="minorEastAsia"/>
              </w:rPr>
              <w:t>(4)报价有效期不满足密封竞价文件要求的；</w:t>
            </w:r>
          </w:p>
          <w:p>
            <w:pPr>
              <w:ind w:firstLine="0" w:firstLineChars="0"/>
              <w:rPr>
                <w:rFonts w:asciiTheme="minorEastAsia" w:hAnsiTheme="minorEastAsia"/>
              </w:rPr>
            </w:pPr>
            <w:r>
              <w:rPr>
                <w:rFonts w:hint="eastAsia" w:asciiTheme="minorEastAsia" w:hAnsiTheme="minorEastAsia"/>
              </w:rPr>
              <w:t>(5)报价内容与采购内容及要求有重大偏离或保留的；</w:t>
            </w:r>
          </w:p>
          <w:p>
            <w:pPr>
              <w:ind w:firstLine="0" w:firstLineChars="0"/>
              <w:rPr>
                <w:rFonts w:asciiTheme="minorEastAsia" w:hAnsiTheme="minorEastAsia"/>
              </w:rPr>
            </w:pPr>
            <w:r>
              <w:rPr>
                <w:rFonts w:hint="eastAsia" w:asciiTheme="minorEastAsia" w:hAnsiTheme="minorEastAsia"/>
              </w:rPr>
              <w:t>(6)供应商提交的是可选择的报价；</w:t>
            </w:r>
          </w:p>
          <w:p>
            <w:pPr>
              <w:ind w:firstLine="0" w:firstLineChars="0"/>
              <w:rPr>
                <w:rFonts w:asciiTheme="minorEastAsia" w:hAnsiTheme="minorEastAsia"/>
              </w:rPr>
            </w:pPr>
            <w:r>
              <w:rPr>
                <w:rFonts w:hint="eastAsia" w:asciiTheme="minorEastAsia" w:hAnsiTheme="minorEastAsia"/>
              </w:rPr>
              <w:t>(7)供应商未按密封竞价文件要求进行报价；</w:t>
            </w:r>
          </w:p>
          <w:p>
            <w:pPr>
              <w:ind w:firstLine="0" w:firstLineChars="0"/>
              <w:rPr>
                <w:rFonts w:asciiTheme="minorEastAsia" w:hAnsiTheme="minorEastAsia"/>
              </w:rPr>
            </w:pPr>
            <w:r>
              <w:rPr>
                <w:rFonts w:hint="eastAsia" w:asciiTheme="minorEastAsia" w:hAnsiTheme="minorEastAsia"/>
              </w:rPr>
              <w:t xml:space="preserve">(8)响应文件中提供虚假或失实资料的； </w:t>
            </w:r>
          </w:p>
          <w:p>
            <w:pPr>
              <w:ind w:firstLine="0" w:firstLineChars="0"/>
              <w:rPr>
                <w:rFonts w:asciiTheme="minorEastAsia" w:hAnsiTheme="minorEastAsia"/>
              </w:rPr>
            </w:pPr>
            <w:r>
              <w:rPr>
                <w:rFonts w:asciiTheme="minorEastAsia" w:hAnsiTheme="minorEastAsia"/>
              </w:rPr>
              <w:t>(</w:t>
            </w:r>
            <w:r>
              <w:rPr>
                <w:rFonts w:hint="eastAsia" w:asciiTheme="minorEastAsia" w:hAnsiTheme="minorEastAsia"/>
              </w:rPr>
              <w:t>9</w:t>
            </w:r>
            <w:r>
              <w:rPr>
                <w:rFonts w:asciiTheme="minorEastAsia" w:hAnsiTheme="minorEastAsia"/>
              </w:rPr>
              <w:t>)</w:t>
            </w:r>
            <w:r>
              <w:rPr>
                <w:rFonts w:hint="eastAsia" w:asciiTheme="minorEastAsia" w:hAnsiTheme="minorEastAsia"/>
              </w:rPr>
              <w:t>对密封竞价文件中带“★”的条款的有任何负偏离或不满足的。</w:t>
            </w:r>
          </w:p>
          <w:p>
            <w:pPr>
              <w:ind w:firstLine="0" w:firstLineChars="0"/>
              <w:rPr>
                <w:rFonts w:asciiTheme="minorEastAsia" w:hAnsiTheme="minorEastAsia"/>
              </w:rPr>
            </w:pPr>
            <w:r>
              <w:rPr>
                <w:rFonts w:hint="eastAsia" w:asciiTheme="minorEastAsia" w:hAnsiTheme="minorEastAsia"/>
              </w:rPr>
              <w:t>(10)不符合密封竞价文件中规定的其它实质性条款。</w:t>
            </w:r>
          </w:p>
          <w:p>
            <w:pPr>
              <w:ind w:firstLine="0" w:firstLineChars="0"/>
              <w:rPr>
                <w:rFonts w:asciiTheme="minorEastAsia" w:hAnsiTheme="minorEastAsia"/>
              </w:rPr>
            </w:pPr>
            <w:r>
              <w:rPr>
                <w:rFonts w:asciiTheme="minorEastAsia" w:hAnsiTheme="minorEastAsia"/>
              </w:rPr>
              <w:t>(1</w:t>
            </w:r>
            <w:r>
              <w:rPr>
                <w:rFonts w:hint="eastAsia" w:asciiTheme="minorEastAsia" w:hAnsiTheme="minorEastAsia"/>
              </w:rPr>
              <w:t>1</w:t>
            </w:r>
            <w:r>
              <w:rPr>
                <w:rFonts w:asciiTheme="minorEastAsia" w:hAnsiTheme="minorEastAsia"/>
              </w:rPr>
              <w:t>)</w:t>
            </w:r>
            <w:r>
              <w:rPr>
                <w:rFonts w:hint="eastAsia" w:asciiTheme="minorEastAsia" w:hAnsiTheme="minorEastAsia"/>
              </w:rPr>
              <w:t>首次</w:t>
            </w:r>
            <w:r>
              <w:rPr>
                <w:rFonts w:asciiTheme="minorEastAsia" w:hAnsiTheme="minorEastAsia"/>
              </w:rPr>
              <w:t>报价</w:t>
            </w:r>
            <w:r>
              <w:rPr>
                <w:rFonts w:hint="eastAsia" w:asciiTheme="minorEastAsia" w:hAnsiTheme="minorEastAsia"/>
              </w:rPr>
              <w:t>或最终报价超过采购预算或最高限价的</w:t>
            </w:r>
            <w:r>
              <w:rPr>
                <w:rFonts w:asciiTheme="minorEastAsia" w:hAnsiTheme="minorEastAsia"/>
              </w:rPr>
              <w:t>。</w:t>
            </w:r>
          </w:p>
          <w:p>
            <w:pPr>
              <w:ind w:firstLine="0" w:firstLineChars="0"/>
              <w:rPr>
                <w:rFonts w:asciiTheme="minorEastAsia" w:hAnsiTheme="minorEastAsia"/>
              </w:rPr>
            </w:pPr>
            <w:r>
              <w:rPr>
                <w:rFonts w:asciiTheme="minorEastAsia" w:hAnsiTheme="minorEastAsia"/>
              </w:rPr>
              <w:t>(1</w:t>
            </w:r>
            <w:r>
              <w:rPr>
                <w:rFonts w:hint="eastAsia" w:asciiTheme="minorEastAsia" w:hAnsiTheme="minorEastAsia"/>
              </w:rPr>
              <w:t>2</w:t>
            </w:r>
            <w:r>
              <w:rPr>
                <w:rFonts w:asciiTheme="minorEastAsia" w:hAnsiTheme="minorEastAsia"/>
              </w:rPr>
              <w:t>)实质性影响合同的范围、质量和履行；</w:t>
            </w:r>
          </w:p>
          <w:p>
            <w:pPr>
              <w:ind w:firstLine="0" w:firstLineChars="0"/>
              <w:rPr>
                <w:rFonts w:asciiTheme="minorEastAsia" w:hAnsiTheme="minorEastAsia"/>
              </w:rPr>
            </w:pPr>
            <w:r>
              <w:rPr>
                <w:rFonts w:asciiTheme="minorEastAsia" w:hAnsiTheme="minorEastAsia"/>
              </w:rPr>
              <w:t>(1</w:t>
            </w:r>
            <w:r>
              <w:rPr>
                <w:rFonts w:hint="eastAsia" w:asciiTheme="minorEastAsia" w:hAnsiTheme="minorEastAsia"/>
              </w:rPr>
              <w:t>3</w:t>
            </w:r>
            <w:r>
              <w:rPr>
                <w:rFonts w:asciiTheme="minorEastAsia" w:hAnsiTheme="minorEastAsia"/>
              </w:rPr>
              <w:t>)实质性违背</w:t>
            </w:r>
            <w:r>
              <w:rPr>
                <w:rFonts w:hint="eastAsia" w:asciiTheme="minorEastAsia" w:hAnsiTheme="minorEastAsia"/>
              </w:rPr>
              <w:t>密封竞价</w:t>
            </w:r>
            <w:r>
              <w:rPr>
                <w:rFonts w:asciiTheme="minorEastAsia" w:hAnsiTheme="minorEastAsia"/>
              </w:rPr>
              <w:t>文件，限制了采购人的权利和</w:t>
            </w:r>
            <w:r>
              <w:rPr>
                <w:rFonts w:hint="eastAsia" w:asciiTheme="minorEastAsia" w:hAnsiTheme="minorEastAsia"/>
              </w:rPr>
              <w:t>成交供应商</w:t>
            </w:r>
            <w:r>
              <w:rPr>
                <w:rFonts w:asciiTheme="minorEastAsia" w:hAnsiTheme="minorEastAsia"/>
              </w:rPr>
              <w:t>合同项下的义务；</w:t>
            </w:r>
          </w:p>
          <w:p>
            <w:pPr>
              <w:ind w:firstLine="0" w:firstLineChars="0"/>
              <w:rPr>
                <w:rFonts w:asciiTheme="minorEastAsia" w:hAnsiTheme="minorEastAsia"/>
              </w:rPr>
            </w:pPr>
            <w:r>
              <w:rPr>
                <w:rFonts w:asciiTheme="minorEastAsia" w:hAnsiTheme="minorEastAsia"/>
              </w:rPr>
              <w:t>(1</w:t>
            </w:r>
            <w:r>
              <w:rPr>
                <w:rFonts w:hint="eastAsia" w:asciiTheme="minorEastAsia" w:hAnsiTheme="minorEastAsia"/>
              </w:rPr>
              <w:t>4</w:t>
            </w:r>
            <w:r>
              <w:rPr>
                <w:rFonts w:asciiTheme="minorEastAsia" w:hAnsiTheme="minorEastAsia"/>
              </w:rPr>
              <w:t>)不公正地影响了其他作出实质性响应的供应商的竞争地位</w:t>
            </w:r>
            <w:r>
              <w:rPr>
                <w:rFonts w:hint="eastAsia" w:asciiTheme="minorEastAsia" w:hAnsiTheme="minorEastAsia"/>
              </w:rPr>
              <w:t>；</w:t>
            </w:r>
          </w:p>
          <w:p>
            <w:pPr>
              <w:ind w:firstLine="0" w:firstLineChars="0"/>
              <w:rPr>
                <w:rFonts w:asciiTheme="minorEastAsia" w:hAnsiTheme="minorEastAsia"/>
                <w:bCs/>
              </w:rPr>
            </w:pPr>
            <w:r>
              <w:rPr>
                <w:rFonts w:hint="eastAsia" w:asciiTheme="minorEastAsia" w:hAnsiTheme="minorEastAsia"/>
                <w:bCs/>
              </w:rPr>
              <w:t>(15)未提供合同签订承诺函的。</w:t>
            </w:r>
          </w:p>
          <w:p>
            <w:pPr>
              <w:ind w:firstLine="0" w:firstLineChars="0"/>
              <w:rPr>
                <w:rFonts w:asciiTheme="minorEastAsia" w:hAnsiTheme="minorEastAsia"/>
              </w:rPr>
            </w:pPr>
            <w:r>
              <w:rPr>
                <w:rFonts w:hint="eastAsia" w:asciiTheme="minorEastAsia" w:hAnsiTheme="minorEastAsia"/>
              </w:rPr>
              <w:t>密封竞价小组决定报价的响应有效性只根据响应文件本身的内容，而不寻求其他的外部证据。</w:t>
            </w:r>
          </w:p>
        </w:tc>
      </w:tr>
    </w:tbl>
    <w:p>
      <w:pPr>
        <w:pStyle w:val="69"/>
        <w:ind w:firstLine="480"/>
        <w:rPr>
          <w:rFonts w:asciiTheme="minorEastAsia" w:hAnsiTheme="minorEastAsia"/>
        </w:rPr>
      </w:pPr>
      <w:bookmarkStart w:id="11" w:name="_Toc398504592"/>
      <w:bookmarkStart w:id="12" w:name="_Toc431190640"/>
      <w:bookmarkStart w:id="13" w:name="_Toc398284536"/>
      <w:bookmarkStart w:id="14" w:name="_Toc107413188"/>
    </w:p>
    <w:bookmarkEnd w:id="11"/>
    <w:bookmarkEnd w:id="12"/>
    <w:bookmarkEnd w:id="13"/>
    <w:bookmarkEnd w:id="14"/>
    <w:p>
      <w:pPr>
        <w:pStyle w:val="4"/>
        <w:numPr>
          <w:ilvl w:val="0"/>
          <w:numId w:val="3"/>
        </w:numPr>
      </w:pPr>
      <w:bookmarkStart w:id="15" w:name="_Toc107413222"/>
      <w:bookmarkStart w:id="16" w:name="_Toc168300556"/>
      <w:r>
        <w:rPr>
          <w:rFonts w:hint="eastAsia"/>
        </w:rPr>
        <w:t>项目内容及要求</w:t>
      </w:r>
      <w:bookmarkEnd w:id="15"/>
      <w:bookmarkEnd w:id="16"/>
    </w:p>
    <w:p>
      <w:pPr>
        <w:pStyle w:val="5"/>
        <w:numPr>
          <w:ilvl w:val="1"/>
          <w:numId w:val="3"/>
        </w:numPr>
        <w:rPr>
          <w:rFonts w:asciiTheme="minorEastAsia" w:hAnsiTheme="minorEastAsia" w:eastAsiaTheme="minorEastAsia"/>
        </w:rPr>
      </w:pPr>
      <w:bookmarkStart w:id="17" w:name="_Toc168300557"/>
      <w:bookmarkStart w:id="18" w:name="_Toc107413223"/>
      <w:bookmarkStart w:id="19" w:name="_Toc493584211"/>
      <w:r>
        <w:rPr>
          <w:rFonts w:hint="eastAsia" w:asciiTheme="minorEastAsia" w:hAnsiTheme="minorEastAsia" w:eastAsiaTheme="minorEastAsia"/>
        </w:rPr>
        <w:t>采购项目技术要求</w:t>
      </w:r>
      <w:bookmarkEnd w:id="17"/>
      <w:bookmarkEnd w:id="18"/>
      <w:bookmarkEnd w:id="19"/>
    </w:p>
    <w:p>
      <w:pPr>
        <w:pStyle w:val="6"/>
        <w:numPr>
          <w:ilvl w:val="0"/>
          <w:numId w:val="0"/>
        </w:numPr>
        <w:rPr>
          <w:rFonts w:asciiTheme="minorEastAsia" w:hAnsiTheme="minorEastAsia" w:eastAsiaTheme="minorEastAsia"/>
        </w:rPr>
      </w:pPr>
      <w:bookmarkStart w:id="20" w:name="_Toc168300558"/>
      <w:r>
        <w:rPr>
          <w:rFonts w:hint="eastAsia" w:asciiTheme="minorEastAsia" w:hAnsiTheme="minorEastAsia" w:eastAsiaTheme="minorEastAsia"/>
        </w:rPr>
        <w:t>1.总体要求</w:t>
      </w:r>
      <w:bookmarkEnd w:id="20"/>
    </w:p>
    <w:p>
      <w:pPr>
        <w:widowControl/>
        <w:numPr>
          <w:ilvl w:val="255"/>
          <w:numId w:val="0"/>
        </w:numPr>
        <w:shd w:val="clear" w:color="auto" w:fill="auto"/>
        <w:ind w:left="0" w:firstLine="480" w:firstLineChars="200"/>
        <w:jc w:val="left"/>
        <w:rPr>
          <w:rFonts w:hint="eastAsia" w:ascii="PingFang-SC-Regular" w:hAnsi="PingFang-SC-Regular" w:eastAsia="宋体" w:cs="Segoe UI"/>
          <w:kern w:val="0"/>
          <w:szCs w:val="24"/>
        </w:rPr>
      </w:pPr>
      <w:r>
        <w:rPr>
          <w:rFonts w:ascii="PingFang-SC-Regular" w:hAnsi="PingFang-SC-Regular" w:eastAsia="宋体" w:cs="Segoe UI"/>
          <w:kern w:val="0"/>
          <w:szCs w:val="24"/>
          <w:shd w:val="clear"/>
        </w:rPr>
        <w:t>随着</w:t>
      </w:r>
      <w:r>
        <w:rPr>
          <w:rFonts w:hint="default" w:ascii="PingFang-SC-Regular" w:hAnsi="PingFang-SC-Regular" w:eastAsia="宋体" w:cs="Segoe UI"/>
          <w:kern w:val="0"/>
          <w:szCs w:val="24"/>
          <w:shd w:val="clear"/>
        </w:rPr>
        <w:t>我校</w:t>
      </w:r>
      <w:r>
        <w:rPr>
          <w:rFonts w:ascii="PingFang-SC-Regular" w:hAnsi="PingFang-SC-Regular" w:eastAsia="宋体" w:cs="Segoe UI"/>
          <w:kern w:val="0"/>
          <w:szCs w:val="24"/>
          <w:shd w:val="clear"/>
        </w:rPr>
        <w:t>科研实力的不断增强，</w:t>
      </w:r>
      <w:r>
        <w:rPr>
          <w:rFonts w:hint="default" w:ascii="PingFang-SC-Regular" w:hAnsi="PingFang-SC-Regular" w:eastAsia="宋体" w:cs="Segoe UI"/>
          <w:kern w:val="0"/>
          <w:szCs w:val="24"/>
          <w:shd w:val="clear"/>
        </w:rPr>
        <w:t>学校</w:t>
      </w:r>
      <w:r>
        <w:rPr>
          <w:rFonts w:ascii="PingFang-SC-Regular" w:hAnsi="PingFang-SC-Regular" w:eastAsia="宋体" w:cs="Segoe UI"/>
          <w:kern w:val="0"/>
          <w:szCs w:val="24"/>
          <w:shd w:val="clear"/>
        </w:rPr>
        <w:t>的知识产权保护与管理日益重要。为规范知识产权的申请、审查、授权、运营及保护等流程，提高知识产权管理效率，现提出“</w:t>
      </w:r>
      <w:r>
        <w:rPr>
          <w:rFonts w:hint="default" w:ascii="PingFang-SC-Regular" w:hAnsi="PingFang-SC-Regular" w:eastAsia="宋体" w:cs="Segoe UI"/>
          <w:kern w:val="0"/>
          <w:szCs w:val="24"/>
          <w:shd w:val="clear"/>
        </w:rPr>
        <w:t>知识产权管理系统租赁服务</w:t>
      </w:r>
      <w:r>
        <w:rPr>
          <w:rFonts w:ascii="PingFang-SC-Regular" w:hAnsi="PingFang-SC-Regular" w:eastAsia="宋体" w:cs="Segoe UI"/>
          <w:kern w:val="0"/>
          <w:szCs w:val="24"/>
          <w:shd w:val="clear"/>
        </w:rPr>
        <w:t>”的</w:t>
      </w:r>
      <w:r>
        <w:rPr>
          <w:rFonts w:hint="default" w:ascii="PingFang-SC-Regular" w:hAnsi="PingFang-SC-Regular" w:eastAsia="宋体" w:cs="Segoe UI"/>
          <w:kern w:val="0"/>
          <w:szCs w:val="24"/>
          <w:shd w:val="clear"/>
        </w:rPr>
        <w:t>需求，</w:t>
      </w:r>
      <w:r>
        <w:rPr>
          <w:rFonts w:ascii="PingFang-SC-Regular" w:hAnsi="PingFang-SC-Regular" w:eastAsia="宋体" w:cs="Segoe UI"/>
          <w:i w:val="0"/>
          <w:iCs w:val="0"/>
          <w:caps w:val="0"/>
          <w:spacing w:val="0"/>
          <w:kern w:val="0"/>
          <w:sz w:val="24"/>
          <w:szCs w:val="24"/>
          <w:shd w:val="clear"/>
        </w:rPr>
        <w:t>租赁</w:t>
      </w:r>
      <w:r>
        <w:rPr>
          <w:rFonts w:hint="default" w:ascii="PingFang-SC-Regular" w:hAnsi="PingFang-SC-Regular" w:eastAsia="宋体" w:cs="Segoe UI"/>
          <w:i w:val="0"/>
          <w:iCs w:val="0"/>
          <w:caps w:val="0"/>
          <w:spacing w:val="0"/>
          <w:kern w:val="0"/>
          <w:sz w:val="24"/>
          <w:szCs w:val="24"/>
          <w:shd w:val="clear"/>
          <w:lang w:val="en-US" w:eastAsia="zh-CN"/>
        </w:rPr>
        <w:t>服务需</w:t>
      </w:r>
      <w:r>
        <w:rPr>
          <w:rFonts w:hint="default" w:ascii="PingFang-SC-Regular" w:hAnsi="PingFang-SC-Regular" w:eastAsia="宋体" w:cs="Segoe UI"/>
          <w:kern w:val="0"/>
          <w:szCs w:val="24"/>
          <w:shd w:val="clear"/>
        </w:rPr>
        <w:t>提供</w:t>
      </w:r>
      <w:r>
        <w:rPr>
          <w:rFonts w:ascii="PingFang-SC-Regular" w:hAnsi="PingFang-SC-Regular" w:eastAsia="宋体" w:cs="Segoe UI"/>
          <w:kern w:val="0"/>
          <w:szCs w:val="24"/>
        </w:rPr>
        <w:t>知识产权的信息化、规范化和流程化管理</w:t>
      </w:r>
      <w:r>
        <w:rPr>
          <w:rFonts w:hint="default" w:ascii="PingFang-SC-Regular" w:hAnsi="PingFang-SC-Regular" w:eastAsia="宋体" w:cs="Segoe UI"/>
          <w:kern w:val="0"/>
          <w:szCs w:val="24"/>
          <w:lang w:val="en-US" w:eastAsia="zh-CN"/>
        </w:rPr>
        <w:t>服务</w:t>
      </w:r>
      <w:r>
        <w:rPr>
          <w:rFonts w:hint="eastAsia" w:ascii="PingFang-SC-Regular" w:hAnsi="PingFang-SC-Regular" w:eastAsia="宋体" w:cs="Segoe UI"/>
          <w:kern w:val="0"/>
          <w:szCs w:val="24"/>
        </w:rPr>
        <w:t>，以</w:t>
      </w:r>
      <w:r>
        <w:rPr>
          <w:rFonts w:ascii="PingFang-SC-Regular" w:hAnsi="PingFang-SC-Regular" w:eastAsia="宋体" w:cs="Segoe UI"/>
          <w:kern w:val="0"/>
          <w:szCs w:val="24"/>
        </w:rPr>
        <w:t>提高知识产权申请、审查、授权等流程的效率，降低管理成本。</w:t>
      </w:r>
    </w:p>
    <w:p>
      <w:pPr>
        <w:pStyle w:val="6"/>
        <w:numPr>
          <w:ilvl w:val="0"/>
          <w:numId w:val="0"/>
        </w:numPr>
        <w:rPr>
          <w:rFonts w:asciiTheme="minorEastAsia" w:hAnsiTheme="minorEastAsia" w:eastAsiaTheme="minorEastAsia"/>
        </w:rPr>
      </w:pPr>
      <w:bookmarkStart w:id="21" w:name="_Toc168300559"/>
      <w:r>
        <w:rPr>
          <w:rFonts w:hint="eastAsia" w:asciiTheme="minorEastAsia" w:hAnsiTheme="minorEastAsia" w:eastAsiaTheme="minorEastAsia"/>
        </w:rPr>
        <w:t>2.服务内容</w:t>
      </w:r>
      <w:bookmarkEnd w:id="21"/>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（1）专利检索服务</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①全球专利检索★</w:t>
      </w:r>
    </w:p>
    <w:p>
      <w:pPr>
        <w:ind w:firstLine="480"/>
        <w:rPr>
          <w:rFonts w:cs="宋体" w:asciiTheme="minorEastAsia" w:hAnsiTheme="minorEastAsia"/>
          <w:kern w:val="0"/>
        </w:rPr>
      </w:pPr>
      <w:r>
        <w:rPr>
          <w:rFonts w:hint="eastAsia" w:cs="宋体" w:asciiTheme="minorEastAsia" w:hAnsiTheme="minorEastAsia"/>
          <w:kern w:val="0"/>
        </w:rPr>
        <w:t>为科研教师提供全球不低于170个国家、地区、组织的专利文献信息，支持科研教师进行专利文献检索，获取关键技术的研发动向，为科研教师优化专利创意提供支撑。支持全球专利检索，且不限制检索账号数量。</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②AI智能检索★</w:t>
      </w:r>
    </w:p>
    <w:p>
      <w:pPr>
        <w:ind w:firstLine="480"/>
        <w:rPr>
          <w:rFonts w:cs="宋体" w:asciiTheme="minorEastAsia" w:hAnsiTheme="minorEastAsia"/>
          <w:kern w:val="0"/>
        </w:rPr>
      </w:pPr>
      <w:r>
        <w:rPr>
          <w:rFonts w:hint="eastAsia" w:cs="宋体" w:asciiTheme="minorEastAsia" w:hAnsiTheme="minorEastAsia"/>
          <w:kern w:val="0"/>
        </w:rPr>
        <w:t>支持科研教师在提案页面直接进行专利文本查新，无需重复录入检索信息，检索结果可提供相似专利500篇，并按照相关度降序排列展示，以直接、简单、快捷的方式为科研教师提供专利信息，帮助科研教师优化专利文本质量。同时，支持自动生成检索报告，并将相似专利和检索报告同步到指定案件中，能够为专利的新颖性判断提供参考。</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③内部提案排重★</w:t>
      </w:r>
    </w:p>
    <w:p>
      <w:pPr>
        <w:ind w:firstLine="480"/>
        <w:rPr>
          <w:rFonts w:asciiTheme="minorEastAsia" w:hAnsiTheme="minorEastAsia"/>
        </w:rPr>
      </w:pPr>
      <w:r>
        <w:rPr>
          <w:rFonts w:hint="eastAsia" w:asciiTheme="minorEastAsia" w:hAnsiTheme="minorEastAsia"/>
        </w:rPr>
        <w:t>科研教师在提交专利申请前，可针对技术内容进行内部排重，支持从交底书的文件中进行内容检索，并反馈检索结果，有权限的教师可以阅读检索结果，帮助教师优化自己的技术方案，也能避免重复研发。</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（2）专利申请前评估服务</w:t>
      </w:r>
    </w:p>
    <w:p>
      <w:pPr>
        <w:pStyle w:val="8"/>
        <w:numPr>
          <w:ilvl w:val="0"/>
          <w:numId w:val="0"/>
        </w:numPr>
      </w:pPr>
      <w:r>
        <w:rPr>
          <w:rFonts w:hint="eastAsia" w:asciiTheme="minorEastAsia" w:hAnsiTheme="minorEastAsia" w:eastAsiaTheme="minorEastAsia"/>
        </w:rPr>
        <w:t>①</w:t>
      </w:r>
      <w:r>
        <w:rPr>
          <w:rFonts w:hint="eastAsia"/>
        </w:rPr>
        <w:t>系统自动评估★</w:t>
      </w:r>
    </w:p>
    <w:p>
      <w:pPr>
        <w:ind w:firstLine="480"/>
      </w:pPr>
      <w:r>
        <w:rPr>
          <w:rFonts w:hint="eastAsia"/>
        </w:rPr>
        <w:t>可通过AI技术，实现申请前新颖性检索，并提供相关专利信息，教师可以查看相关专利的详情，从而修改或完善自己的技术方案。系统支持自动生成AI查新报告，提供教师专利申请新颖性方面的参考。</w:t>
      </w:r>
    </w:p>
    <w:p>
      <w:pPr>
        <w:pStyle w:val="8"/>
        <w:numPr>
          <w:ilvl w:val="0"/>
          <w:numId w:val="0"/>
        </w:numPr>
      </w:pPr>
      <w:bookmarkStart w:id="22" w:name="_Hlk168299532"/>
      <w:r>
        <w:rPr>
          <w:rFonts w:hint="eastAsia"/>
        </w:rPr>
        <w:t>②</w:t>
      </w:r>
      <w:bookmarkEnd w:id="22"/>
      <w:r>
        <w:rPr>
          <w:rFonts w:hint="eastAsia"/>
        </w:rPr>
        <w:t>评估模型★</w:t>
      </w:r>
    </w:p>
    <w:p>
      <w:pPr>
        <w:ind w:firstLine="480"/>
      </w:pPr>
      <w:r>
        <w:rPr>
          <w:rFonts w:hint="eastAsia"/>
        </w:rPr>
        <w:t>（1）支持根据学校的评估体系建立线上评估模型，可自定义评估维度、指标、评审专家，评估模型数量不受限。</w:t>
      </w:r>
    </w:p>
    <w:p>
      <w:pPr>
        <w:ind w:firstLine="480"/>
      </w:pPr>
      <w:r>
        <w:rPr>
          <w:rFonts w:hint="eastAsia"/>
        </w:rPr>
        <w:t>（2）支持科研教师在系统完成专利技术价值度、市场价值度等多维度自评，支持评估过程全部记录且留痕，便于后续进行查看。</w:t>
      </w:r>
    </w:p>
    <w:p>
      <w:pPr>
        <w:ind w:firstLine="480"/>
      </w:pPr>
      <w:r>
        <w:rPr>
          <w:rFonts w:hint="eastAsia"/>
        </w:rPr>
        <w:t>（3）支持按照评分方式展现评估结果，提供教师判断是否进行专利申请。</w:t>
      </w:r>
    </w:p>
    <w:p>
      <w:pPr>
        <w:ind w:firstLine="480"/>
      </w:pPr>
      <w:r>
        <w:rPr>
          <w:rFonts w:hint="eastAsia"/>
        </w:rPr>
        <w:t>（4）支持可以在评估的过程中上传附件，填写评估意见。</w:t>
      </w:r>
    </w:p>
    <w:p>
      <w:pPr>
        <w:ind w:firstLine="480"/>
      </w:pPr>
      <w:r>
        <w:rPr>
          <w:rFonts w:hint="eastAsia"/>
        </w:rPr>
        <w:t>（5）不同维度不同专家的评估信息隔离，最终评分自动汇总。</w:t>
      </w:r>
    </w:p>
    <w:p>
      <w:pPr>
        <w:ind w:firstLine="480"/>
      </w:pPr>
      <w:r>
        <w:rPr>
          <w:rFonts w:hint="eastAsia"/>
        </w:rPr>
        <w:t>（6）支持教师根据评估结果，手动对专利进行预分级管理。</w:t>
      </w:r>
    </w:p>
    <w:p>
      <w:pPr>
        <w:pStyle w:val="8"/>
        <w:numPr>
          <w:ilvl w:val="0"/>
          <w:numId w:val="0"/>
        </w:numPr>
      </w:pPr>
      <w:bookmarkStart w:id="23" w:name="_Hlk168299576"/>
      <w:r>
        <w:rPr>
          <w:rFonts w:hint="eastAsia"/>
        </w:rPr>
        <w:t>③</w:t>
      </w:r>
      <w:bookmarkEnd w:id="23"/>
      <w:r>
        <w:rPr>
          <w:rFonts w:hint="eastAsia"/>
        </w:rPr>
        <w:t>评估流程</w:t>
      </w:r>
    </w:p>
    <w:p>
      <w:pPr>
        <w:ind w:firstLine="480"/>
      </w:pPr>
      <w:r>
        <w:rPr>
          <w:rFonts w:hint="eastAsia"/>
        </w:rPr>
        <w:t>（1）支持自定义评估流程，评估流程发起后，可以给对应的评审专家发送待办任务及提醒。</w:t>
      </w:r>
    </w:p>
    <w:p>
      <w:pPr>
        <w:ind w:firstLine="480"/>
      </w:pPr>
      <w:r>
        <w:rPr>
          <w:rFonts w:hint="eastAsia"/>
        </w:rPr>
        <w:t>（2）评估流程支持修改或调整</w:t>
      </w:r>
      <w:r>
        <w:rPr>
          <w:rFonts w:hint="eastAsia"/>
          <w:lang w:eastAsia="zh-CN"/>
        </w:rPr>
        <w:t>。</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（3）专利内部申请及审批信息化服务</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①申请信息填写</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（1）支持学校及下属学校的科研教师均可提交专利申请，支持申请文件上传，系统自动记录上传时间。</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（2）科研教师可根据提示语填写系统中的各项信息。</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（3）科研教师可填写拟申请专利名称及技术方案的核心内容，并支持填写信息的自定义且数量无限制。</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（4）可通过AI智能检索帮助教师检索技术方案的新颖性，并可将检索到的公开案件关联到教师自己的申请中，同时系统自动生成AI查新报告。</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（5）支持专利申请与科研项目关联，并可进行查询和统计。科研项目信息自动从我校科研相关系统获取</w:t>
      </w:r>
      <w:r>
        <w:rPr>
          <w:rFonts w:hint="eastAsia" w:asciiTheme="minorEastAsia" w:hAnsiTheme="minorEastAsia" w:eastAsiaTheme="minorEastAsia"/>
          <w:b w:val="0"/>
          <w:bCs/>
          <w:sz w:val="24"/>
          <w:lang w:eastAsia="zh-CN"/>
        </w:rPr>
        <w:t>，</w:t>
      </w:r>
      <w:r>
        <w:rPr>
          <w:rFonts w:hint="eastAsia" w:asciiTheme="minorEastAsia" w:hAnsiTheme="minorEastAsia" w:eastAsiaTheme="minorEastAsia"/>
          <w:b w:val="0"/>
          <w:bCs/>
          <w:sz w:val="24"/>
          <w:lang w:val="en-US" w:eastAsia="zh-CN"/>
        </w:rPr>
        <w:t>与智慧校园系统集成</w:t>
      </w:r>
      <w:r>
        <w:rPr>
          <w:rFonts w:hint="eastAsia" w:asciiTheme="minorEastAsia" w:hAnsiTheme="minorEastAsia" w:eastAsiaTheme="minorEastAsia"/>
          <w:b w:val="0"/>
          <w:bCs/>
          <w:sz w:val="24"/>
        </w:rPr>
        <w:t>。</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（6）专利申请信息填写完毕后支持教师上传附件，启动专利申请审批流程，流程支持自定义。</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（7）支持自定义申请表单信息，新增各类型字段，例如文本框、日期、复选框格式等。</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8）在填写专利申请时，系统自动弹出“专利申请承诺”等页面，要求教师进行阅读，并勾选“同意”，勾选完成进入专利申请填写页面，如果教师未勾选，则需要系统提醒，如果不勾选，系统将会退出专利提案申请页面。</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②附件上传及下载</w:t>
      </w:r>
    </w:p>
    <w:p>
      <w:pPr>
        <w:ind w:firstLine="480"/>
        <w:jc w:val="left"/>
        <w:rPr>
          <w:rFonts w:asciiTheme="minorEastAsia" w:hAnsiTheme="minorEastAsia"/>
        </w:rPr>
      </w:pPr>
      <w:r>
        <w:rPr>
          <w:rFonts w:hint="eastAsia" w:asciiTheme="minorEastAsia" w:hAnsiTheme="minorEastAsia"/>
        </w:rPr>
        <w:t>（1）支持教师填写专利申请时上传附件，附件类型可支持WORD\EXCEL\PDF或图片。</w:t>
      </w:r>
    </w:p>
    <w:p>
      <w:pPr>
        <w:ind w:firstLine="480"/>
        <w:jc w:val="left"/>
        <w:rPr>
          <w:rFonts w:asciiTheme="minorEastAsia" w:hAnsiTheme="minorEastAsia"/>
        </w:rPr>
      </w:pPr>
      <w:r>
        <w:rPr>
          <w:rFonts w:hint="eastAsia" w:asciiTheme="minorEastAsia" w:hAnsiTheme="minorEastAsia"/>
        </w:rPr>
        <w:t>（2）支持附件批量上传，可根据文件名称实现标准类型的模糊匹配。</w:t>
      </w:r>
    </w:p>
    <w:p>
      <w:pPr>
        <w:ind w:firstLine="480"/>
        <w:jc w:val="left"/>
        <w:rPr>
          <w:rFonts w:asciiTheme="minorEastAsia" w:hAnsiTheme="minorEastAsia"/>
        </w:rPr>
      </w:pPr>
      <w:r>
        <w:rPr>
          <w:rFonts w:hint="eastAsia" w:asciiTheme="minorEastAsia" w:hAnsiTheme="minorEastAsia"/>
        </w:rPr>
        <w:t>（3）当上传的附件命名重复时，不能覆盖原文件，需要同时保存在系统内。</w:t>
      </w:r>
    </w:p>
    <w:p>
      <w:pPr>
        <w:ind w:firstLine="480"/>
        <w:jc w:val="left"/>
        <w:rPr>
          <w:rFonts w:asciiTheme="minorEastAsia" w:hAnsiTheme="minorEastAsia"/>
        </w:rPr>
      </w:pPr>
      <w:r>
        <w:rPr>
          <w:rFonts w:hint="eastAsia" w:asciiTheme="minorEastAsia" w:hAnsiTheme="minorEastAsia"/>
        </w:rPr>
        <w:t>（4）支持附件的单件或者批量下载。</w:t>
      </w:r>
    </w:p>
    <w:p>
      <w:pPr>
        <w:ind w:firstLine="480"/>
        <w:jc w:val="left"/>
        <w:rPr>
          <w:rFonts w:asciiTheme="minorEastAsia" w:hAnsiTheme="minorEastAsia"/>
        </w:rPr>
      </w:pPr>
      <w:r>
        <w:rPr>
          <w:rFonts w:hint="eastAsia" w:asciiTheme="minorEastAsia" w:hAnsiTheme="minorEastAsia"/>
        </w:rPr>
        <w:t>（5）支持同时下载一段时期内的不同专利的同一类型的附件。</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③流程审批</w:t>
      </w:r>
      <w:r>
        <w:rPr>
          <w:rFonts w:hint="eastAsia"/>
        </w:rPr>
        <w:t>★</w:t>
      </w:r>
    </w:p>
    <w:p>
      <w:pPr>
        <w:ind w:firstLine="480"/>
      </w:pPr>
      <w:r>
        <w:rPr>
          <w:rFonts w:hint="eastAsia"/>
        </w:rPr>
        <w:t>（1）支持专利申请阶段的各类信息记录，支持设定专利申请审批流程，并可根据水院的特点自定义流程或审批节点，流程自定义及审批节点自定义无数量限制。</w:t>
      </w:r>
    </w:p>
    <w:p>
      <w:pPr>
        <w:ind w:firstLine="480"/>
      </w:pPr>
      <w:r>
        <w:rPr>
          <w:rFonts w:hint="eastAsia"/>
        </w:rPr>
        <w:t>（2）可在案件查询界面查看案件当前所处阶段及审批人。</w:t>
      </w:r>
    </w:p>
    <w:p>
      <w:pPr>
        <w:ind w:firstLine="480"/>
      </w:pPr>
      <w:r>
        <w:rPr>
          <w:rFonts w:hint="eastAsia"/>
        </w:rPr>
        <w:t>（3）支持根据不同的申请类型设定不同的审批流程，比如发明、实用新型内部审批流程，外观设计内部审批流程，专利申请递交流程、答复流程等。</w:t>
      </w:r>
    </w:p>
    <w:p>
      <w:pPr>
        <w:ind w:firstLine="480"/>
      </w:pPr>
      <w:r>
        <w:rPr>
          <w:rFonts w:hint="eastAsia"/>
        </w:rPr>
        <w:t>（4）已经发起专利申请的审批流程支持修改，并支持流程退回指定节点或终止流程。</w:t>
      </w:r>
    </w:p>
    <w:p>
      <w:pPr>
        <w:ind w:firstLine="480"/>
      </w:pPr>
      <w:r>
        <w:rPr>
          <w:rFonts w:hint="eastAsia"/>
        </w:rPr>
        <w:t>（5）内部专利申请审批流程通过后，可以自动发送邮件通知科研教师，也可设置抄送人员。</w:t>
      </w:r>
    </w:p>
    <w:p>
      <w:pPr>
        <w:ind w:firstLine="480"/>
      </w:pPr>
      <w:r>
        <w:rPr>
          <w:rFonts w:hint="eastAsia"/>
        </w:rPr>
        <w:t>（6）流程提交后，可以以邮件方式通知到审批人员，审批人员也可通过邮件中的链接直接打开案件进行审批。</w:t>
      </w:r>
    </w:p>
    <w:p>
      <w:pPr>
        <w:pStyle w:val="8"/>
        <w:numPr>
          <w:ilvl w:val="0"/>
          <w:numId w:val="0"/>
        </w:numPr>
        <w:rPr>
          <w:rFonts w:asciiTheme="minorEastAsia" w:hAnsiTheme="minorEastAsia" w:eastAsiaTheme="minorEastAsia"/>
        </w:rPr>
      </w:pPr>
      <w:r>
        <w:rPr>
          <w:rFonts w:hint="eastAsia" w:asciiTheme="minorEastAsia" w:hAnsiTheme="minorEastAsia" w:eastAsiaTheme="minorEastAsia"/>
        </w:rPr>
        <w:t>④查询及导出</w:t>
      </w:r>
    </w:p>
    <w:p>
      <w:pPr>
        <w:ind w:firstLine="480"/>
      </w:pPr>
      <w:r>
        <w:rPr>
          <w:rFonts w:hint="eastAsia"/>
        </w:rPr>
        <w:t>（1）支持所有在系统中提交的专利信息查询，但需要通过权限控制浏览范围，比如自己提交的专利申请，自己可以查看，其他人员提交的专利申请不可查看。</w:t>
      </w:r>
    </w:p>
    <w:p>
      <w:pPr>
        <w:ind w:firstLine="480"/>
      </w:pPr>
      <w:r>
        <w:rPr>
          <w:rFonts w:hint="eastAsia"/>
        </w:rPr>
        <w:t>（2）可进行专利申请的数据管理，可通过各类检索项目快速查询到专利申请案件，支持专利数据、专利附件导出，导出方案支持自定义设置。</w:t>
      </w:r>
    </w:p>
    <w:p>
      <w:pPr>
        <w:ind w:firstLine="480"/>
      </w:pPr>
      <w:r>
        <w:rPr>
          <w:rFonts w:hint="eastAsia"/>
        </w:rPr>
        <w:t>（3）支持能够按照学校的管理模式自定义导航，提供简单检索、编号检索、高级检索等多种检索方式，便于快速查找专利，并且检索结果支持导出，导出项目支持自定义设置，导出频率较高的字段还可保存为常用方案。</w:t>
      </w:r>
    </w:p>
    <w:p>
      <w:pPr>
        <w:pStyle w:val="56"/>
        <w:numPr>
          <w:ilvl w:val="0"/>
          <w:numId w:val="4"/>
        </w:numPr>
        <w:ind w:firstLineChars="0"/>
      </w:pPr>
      <w:r>
        <w:rPr>
          <w:rFonts w:hint="eastAsia"/>
        </w:rPr>
        <w:t>自定义字段可参与检索、导出、统计分析等。</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（4）专利申请递交管理服务</w:t>
      </w:r>
    </w:p>
    <w:p>
      <w:pPr>
        <w:pStyle w:val="8"/>
        <w:numPr>
          <w:ilvl w:val="0"/>
          <w:numId w:val="0"/>
        </w:numPr>
      </w:pPr>
      <w:r>
        <w:rPr>
          <w:rFonts w:hint="eastAsia"/>
        </w:rPr>
        <w:t>①国内申请★</w:t>
      </w:r>
    </w:p>
    <w:p>
      <w:pPr>
        <w:ind w:firstLine="480"/>
      </w:pPr>
      <w:r>
        <w:rPr>
          <w:rFonts w:hint="eastAsia"/>
        </w:rPr>
        <w:t>（1）专利申请审批通过后，教师可以直接委托代理机构进行申请、递交，支持在系统中选择协议的代理机构进行委案，如果是非协议机构，则需要先进行代理机构合作协议的审批，审批通过后，由科技处将代理机构添加至系统内，后续提供教师选择代理机构。</w:t>
      </w:r>
    </w:p>
    <w:p>
      <w:pPr>
        <w:ind w:firstLine="480"/>
      </w:pPr>
      <w:r>
        <w:rPr>
          <w:rFonts w:hint="eastAsia"/>
        </w:rPr>
        <w:t>（2）可协同代理机构完成线上委案、撰写、定稿、提交，并邮件通知相关教师。</w:t>
      </w:r>
    </w:p>
    <w:p>
      <w:pPr>
        <w:ind w:firstLine="480"/>
      </w:pPr>
      <w:r>
        <w:rPr>
          <w:rFonts w:hint="eastAsia"/>
        </w:rPr>
        <w:t>（3）能够对专利全生命周期内的所有基本信息、文件信息、费用信息、同族信息、期限信息、流程信息等进行集中化管理。</w:t>
      </w:r>
    </w:p>
    <w:p>
      <w:pPr>
        <w:ind w:firstLine="480"/>
      </w:pPr>
      <w:r>
        <w:rPr>
          <w:rFonts w:hint="eastAsia"/>
        </w:rPr>
        <w:t>（4）在专利管理页面能够看到当前专利的流程阶段及审批人员。</w:t>
      </w:r>
    </w:p>
    <w:p>
      <w:pPr>
        <w:ind w:firstLine="480"/>
      </w:pPr>
      <w:r>
        <w:rPr>
          <w:rFonts w:hint="eastAsia"/>
        </w:rPr>
        <w:t>（5）可通过专利申请号、公开号、专利名称、科研教师、院系名称等项目进行专利检索，并支持添加自定义检索项目。</w:t>
      </w:r>
    </w:p>
    <w:p>
      <w:pPr>
        <w:ind w:firstLine="480"/>
      </w:pPr>
      <w:r>
        <w:rPr>
          <w:rFonts w:hint="eastAsia"/>
        </w:rPr>
        <w:t>（6）专利信息支持教师手工添加，还可以通过excel表格批量导入。</w:t>
      </w:r>
    </w:p>
    <w:p>
      <w:pPr>
        <w:ind w:firstLine="480"/>
      </w:pPr>
      <w:r>
        <w:rPr>
          <w:rFonts w:hint="eastAsia"/>
        </w:rPr>
        <w:t>（7）支持自动更新专利申请过程的法律状态、公开、授权文本。</w:t>
      </w:r>
    </w:p>
    <w:p>
      <w:pPr>
        <w:ind w:firstLine="480"/>
      </w:pPr>
      <w:r>
        <w:rPr>
          <w:rFonts w:hint="eastAsia"/>
        </w:rPr>
        <w:t>（8）支持控制附件查看、下载权限，根据角色分配权限。</w:t>
      </w:r>
    </w:p>
    <w:p>
      <w:pPr>
        <w:pStyle w:val="8"/>
        <w:numPr>
          <w:ilvl w:val="0"/>
          <w:numId w:val="0"/>
        </w:numPr>
      </w:pPr>
      <w:r>
        <w:rPr>
          <w:rFonts w:hint="eastAsia"/>
        </w:rPr>
        <w:t>②国内答复</w:t>
      </w:r>
    </w:p>
    <w:p>
      <w:pPr>
        <w:ind w:firstLine="480"/>
      </w:pPr>
      <w:r>
        <w:rPr>
          <w:rFonts w:hint="eastAsia"/>
        </w:rPr>
        <w:t>（1）支持专利申请委托代理机构或者教师自申请管理，答复过程及文件均上传系统进行管理。</w:t>
      </w:r>
    </w:p>
    <w:p>
      <w:pPr>
        <w:ind w:firstLine="480"/>
      </w:pPr>
      <w:r>
        <w:rPr>
          <w:rFonts w:hint="eastAsia"/>
        </w:rPr>
        <w:t>（2）针对答复期限能够自动监控，并可以通过系统消息或者邮件的方式通知教师。</w:t>
      </w:r>
    </w:p>
    <w:p>
      <w:pPr>
        <w:pStyle w:val="8"/>
        <w:numPr>
          <w:ilvl w:val="0"/>
          <w:numId w:val="0"/>
        </w:numPr>
      </w:pPr>
      <w:r>
        <w:rPr>
          <w:rFonts w:hint="eastAsia"/>
        </w:rPr>
        <w:t>③国内期限★</w:t>
      </w:r>
    </w:p>
    <w:p>
      <w:pPr>
        <w:ind w:firstLine="480"/>
      </w:pPr>
      <w:r>
        <w:rPr>
          <w:rFonts w:hint="eastAsia"/>
        </w:rPr>
        <w:t>（1）支持针对官方期限、费用期限、年费期限等进行监控，并可通过“期限日”进行案件筛选。</w:t>
      </w:r>
    </w:p>
    <w:p>
      <w:pPr>
        <w:ind w:firstLine="480"/>
      </w:pPr>
      <w:r>
        <w:rPr>
          <w:rFonts w:hint="eastAsia"/>
        </w:rPr>
        <w:t>（2）支持代理机构线上进行待办任务查询、期限监控等。</w:t>
      </w:r>
    </w:p>
    <w:p>
      <w:pPr>
        <w:ind w:firstLine="480"/>
      </w:pPr>
      <w:r>
        <w:rPr>
          <w:rFonts w:hint="eastAsia"/>
        </w:rPr>
        <w:t>（3）支持在期限届满前提醒教师及时答复或者缴费。</w:t>
      </w:r>
    </w:p>
    <w:p>
      <w:pPr>
        <w:pStyle w:val="8"/>
        <w:numPr>
          <w:ilvl w:val="0"/>
          <w:numId w:val="0"/>
        </w:numPr>
      </w:pPr>
      <w:r>
        <w:rPr>
          <w:rFonts w:hint="eastAsia"/>
        </w:rPr>
        <w:t>④涉外申请</w:t>
      </w:r>
    </w:p>
    <w:p>
      <w:pPr>
        <w:ind w:firstLine="480"/>
      </w:pPr>
      <w:r>
        <w:rPr>
          <w:rFonts w:hint="eastAsia"/>
        </w:rPr>
        <w:t>（1）支持专利涉外申请流程、代理机构交互流程，可通过流程提示指导教师完成涉外申请。</w:t>
      </w:r>
    </w:p>
    <w:p>
      <w:pPr>
        <w:ind w:firstLine="480"/>
      </w:pPr>
      <w:r>
        <w:rPr>
          <w:rFonts w:hint="eastAsia"/>
        </w:rPr>
        <w:t>（2）涉外申请的专利能够与国内申请的专利进行关联，并可以通过其中一个专利案件看到它的涉外/国内案件。</w:t>
      </w:r>
    </w:p>
    <w:p>
      <w:pPr>
        <w:ind w:firstLine="480"/>
      </w:pPr>
      <w:r>
        <w:rPr>
          <w:rFonts w:hint="eastAsia"/>
        </w:rPr>
        <w:t>（3）涉外案件的全生命周期管理与国内案件管理相一致，但是要区别国内和涉外专利申请。</w:t>
      </w:r>
    </w:p>
    <w:p>
      <w:pPr>
        <w:pStyle w:val="8"/>
        <w:numPr>
          <w:ilvl w:val="0"/>
          <w:numId w:val="0"/>
        </w:numPr>
      </w:pPr>
      <w:bookmarkStart w:id="24" w:name="_Hlk168300340"/>
      <w:r>
        <w:rPr>
          <w:rFonts w:hint="eastAsia"/>
        </w:rPr>
        <w:t>⑤</w:t>
      </w:r>
      <w:bookmarkEnd w:id="24"/>
      <w:r>
        <w:rPr>
          <w:rFonts w:hint="eastAsia"/>
        </w:rPr>
        <w:t>涉外答复</w:t>
      </w:r>
    </w:p>
    <w:p>
      <w:pPr>
        <w:ind w:firstLine="480"/>
      </w:pPr>
      <w:r>
        <w:rPr>
          <w:rFonts w:hint="eastAsia"/>
        </w:rPr>
        <w:t>（1）支持专利申请委托涉外代理机构或者教师自申请管理，答复过程及文件均上传系统进行管理。</w:t>
      </w:r>
    </w:p>
    <w:p>
      <w:pPr>
        <w:ind w:firstLine="480"/>
      </w:pPr>
      <w:r>
        <w:rPr>
          <w:rFonts w:hint="eastAsia"/>
        </w:rPr>
        <w:t>（2）针对涉外答复期限能够自动监控，并可以通过系统消息或者邮件的方式通知教师。</w:t>
      </w:r>
    </w:p>
    <w:p>
      <w:pPr>
        <w:pStyle w:val="8"/>
        <w:numPr>
          <w:ilvl w:val="0"/>
          <w:numId w:val="0"/>
        </w:numPr>
      </w:pPr>
      <w:r>
        <w:rPr>
          <w:rFonts w:hint="eastAsia"/>
        </w:rPr>
        <w:t>⑥涉外期限</w:t>
      </w:r>
    </w:p>
    <w:p>
      <w:pPr>
        <w:ind w:firstLine="480"/>
        <w:rPr>
          <w:rFonts w:asciiTheme="minorEastAsia" w:hAnsiTheme="minorEastAsia"/>
        </w:rPr>
      </w:pPr>
      <w:r>
        <w:rPr>
          <w:rFonts w:hint="eastAsia" w:asciiTheme="minorEastAsia" w:hAnsiTheme="minorEastAsia"/>
        </w:rPr>
        <w:t>（1）支持针对涉外官方期限、费用期限、年费期限等进行监控，并可根据申请国家的法制度，自定义监控规则，并可通过“期限日”进行案件筛选。</w:t>
      </w:r>
    </w:p>
    <w:p>
      <w:pPr>
        <w:ind w:firstLine="480"/>
        <w:rPr>
          <w:rFonts w:asciiTheme="minorEastAsia" w:hAnsiTheme="minorEastAsia"/>
        </w:rPr>
      </w:pPr>
      <w:r>
        <w:rPr>
          <w:rFonts w:hint="eastAsia" w:asciiTheme="minorEastAsia" w:hAnsiTheme="minorEastAsia"/>
        </w:rPr>
        <w:t>（2）支持涉外代理机构线上进行待办任务查询、期限监控等。</w:t>
      </w:r>
    </w:p>
    <w:p>
      <w:pPr>
        <w:ind w:firstLine="480"/>
        <w:rPr>
          <w:rFonts w:asciiTheme="minorEastAsia" w:hAnsiTheme="minorEastAsia"/>
        </w:rPr>
      </w:pPr>
      <w:r>
        <w:rPr>
          <w:rFonts w:hint="eastAsia" w:asciiTheme="minorEastAsia" w:hAnsiTheme="minorEastAsia"/>
        </w:rPr>
        <w:t>（3）支持在涉外期限届满前提醒教师及时答复或者缴费。</w:t>
      </w:r>
    </w:p>
    <w:p>
      <w:pPr>
        <w:pStyle w:val="8"/>
        <w:numPr>
          <w:ilvl w:val="0"/>
          <w:numId w:val="0"/>
        </w:numPr>
      </w:pPr>
      <w:r>
        <w:rPr>
          <w:rFonts w:hint="eastAsia"/>
        </w:rPr>
        <w:t>⑦中间文件★</w:t>
      </w:r>
    </w:p>
    <w:p>
      <w:pPr>
        <w:ind w:firstLine="480"/>
        <w:rPr>
          <w:rFonts w:asciiTheme="minorEastAsia" w:hAnsiTheme="minorEastAsia"/>
        </w:rPr>
      </w:pPr>
      <w:r>
        <w:rPr>
          <w:rFonts w:hint="eastAsia" w:asciiTheme="minorEastAsia" w:hAnsiTheme="minorEastAsia"/>
        </w:rPr>
        <w:t>(1)支持国内、涉外申请、答复过程中的专利中间文件的线上管理。</w:t>
      </w:r>
    </w:p>
    <w:p>
      <w:pPr>
        <w:ind w:firstLine="480"/>
        <w:rPr>
          <w:rFonts w:asciiTheme="minorEastAsia" w:hAnsiTheme="minorEastAsia"/>
        </w:rPr>
      </w:pPr>
      <w:r>
        <w:rPr>
          <w:rFonts w:hint="eastAsia" w:asciiTheme="minorEastAsia" w:hAnsiTheme="minorEastAsia"/>
        </w:rPr>
        <w:t>(2)支持批量导入国家知识产权局专利业务办理系统的官文。</w:t>
      </w:r>
    </w:p>
    <w:p>
      <w:pPr>
        <w:ind w:firstLine="480"/>
        <w:rPr>
          <w:rFonts w:asciiTheme="minorEastAsia" w:hAnsiTheme="minorEastAsia"/>
        </w:rPr>
      </w:pPr>
      <w:r>
        <w:rPr>
          <w:rFonts w:hint="eastAsia" w:asciiTheme="minorEastAsia" w:hAnsiTheme="minorEastAsia"/>
        </w:rPr>
        <w:t>(3)支持官文自动解析、归档等功能，并支持根据官文自动触发专利法律状态或生成费用明细。</w:t>
      </w:r>
    </w:p>
    <w:p>
      <w:pPr>
        <w:ind w:firstLine="480"/>
        <w:rPr>
          <w:rFonts w:asciiTheme="minorEastAsia" w:hAnsiTheme="minorEastAsia"/>
        </w:rPr>
      </w:pPr>
      <w:r>
        <w:rPr>
          <w:rFonts w:hint="eastAsia" w:asciiTheme="minorEastAsia" w:hAnsiTheme="minorEastAsia"/>
        </w:rPr>
        <w:t>(4)支持在教师、代理机构等上传官方文件后，触发官文的后续处理流程。</w:t>
      </w:r>
    </w:p>
    <w:p>
      <w:pPr>
        <w:ind w:firstLine="480"/>
        <w:rPr>
          <w:rFonts w:asciiTheme="minorEastAsia" w:hAnsiTheme="minorEastAsia"/>
        </w:rPr>
      </w:pPr>
      <w:r>
        <w:rPr>
          <w:rFonts w:hint="eastAsia" w:asciiTheme="minorEastAsia" w:hAnsiTheme="minorEastAsia"/>
        </w:rPr>
        <w:t>(5)支持管理、查询、导出已上传的官方文件。</w:t>
      </w:r>
    </w:p>
    <w:p>
      <w:pPr>
        <w:ind w:firstLine="480"/>
        <w:rPr>
          <w:rFonts w:asciiTheme="minorEastAsia" w:hAnsiTheme="minorEastAsia"/>
        </w:rPr>
      </w:pPr>
      <w:r>
        <w:rPr>
          <w:rFonts w:hint="eastAsia" w:asciiTheme="minorEastAsia" w:hAnsiTheme="minorEastAsia"/>
        </w:rPr>
        <w:t>(6)支持针对不同的官文(例如：答复、视撤、终止提恢复、驳回提复审等)设置不同的线上答复处理流程。</w:t>
      </w:r>
    </w:p>
    <w:p>
      <w:pPr>
        <w:ind w:firstLine="480"/>
        <w:rPr>
          <w:rFonts w:asciiTheme="minorEastAsia" w:hAnsiTheme="minorEastAsia"/>
        </w:rPr>
      </w:pPr>
      <w:r>
        <w:rPr>
          <w:rFonts w:hint="eastAsia" w:asciiTheme="minorEastAsia" w:hAnsiTheme="minorEastAsia"/>
        </w:rPr>
        <w:t>(7)支持根据不同的文件类型触发不同的处理流程。</w:t>
      </w:r>
    </w:p>
    <w:p>
      <w:pPr>
        <w:ind w:firstLine="480"/>
        <w:rPr>
          <w:rFonts w:asciiTheme="minorEastAsia" w:hAnsiTheme="minorEastAsia"/>
        </w:rPr>
      </w:pPr>
      <w:r>
        <w:rPr>
          <w:rFonts w:hint="eastAsia" w:asciiTheme="minorEastAsia" w:hAnsiTheme="minorEastAsia"/>
        </w:rPr>
        <w:t>(8)支持教师自申请或委托代理机构，支持自动解析国知局下发的官方通知书，可批量上传官文，自动采集官文信息。</w:t>
      </w:r>
    </w:p>
    <w:p>
      <w:pPr>
        <w:pStyle w:val="8"/>
        <w:numPr>
          <w:ilvl w:val="0"/>
          <w:numId w:val="0"/>
        </w:numPr>
      </w:pPr>
      <w:r>
        <w:rPr>
          <w:rFonts w:hint="eastAsia"/>
        </w:rPr>
        <w:t>⑧专利云同步★</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(1)支持自动同步学校的专利信息，且能够与现存专利信息进行对比，并明显标识不一致项，教师可选择是否进行更新。</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(2)支持选择手动更新或者自动更新，不强制更新系统内的专利信息。</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(3)支持专利信息更新，至少每周同步一次。</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（5）版权管理</w:t>
      </w:r>
    </w:p>
    <w:p>
      <w:pPr>
        <w:ind w:firstLine="480"/>
        <w:jc w:val="left"/>
        <w:rPr>
          <w:rFonts w:asciiTheme="minorEastAsia" w:hAnsiTheme="minorEastAsia"/>
          <w:szCs w:val="24"/>
        </w:rPr>
      </w:pPr>
      <w:r>
        <w:rPr>
          <w:rFonts w:hint="eastAsia" w:asciiTheme="minorEastAsia" w:hAnsiTheme="minorEastAsia"/>
          <w:szCs w:val="24"/>
        </w:rPr>
        <w:t>(1)支持针对软件版权、作品版权等进行线上管理。</w:t>
      </w:r>
    </w:p>
    <w:p>
      <w:pPr>
        <w:ind w:firstLine="480"/>
        <w:jc w:val="left"/>
        <w:rPr>
          <w:rFonts w:asciiTheme="minorEastAsia" w:hAnsiTheme="minorEastAsia"/>
          <w:szCs w:val="24"/>
        </w:rPr>
      </w:pPr>
      <w:r>
        <w:rPr>
          <w:rFonts w:hint="eastAsia" w:asciiTheme="minorEastAsia" w:hAnsiTheme="minorEastAsia"/>
          <w:szCs w:val="24"/>
        </w:rPr>
        <w:t>(2)支持教师在系统内提交版权申请，填写版权申请基本信息，并上传相关文件，提交审批，审批流程支持各学校进行自定义设置。</w:t>
      </w:r>
    </w:p>
    <w:p>
      <w:pPr>
        <w:ind w:firstLine="480"/>
        <w:rPr>
          <w:rFonts w:asciiTheme="minorEastAsia" w:hAnsiTheme="minorEastAsia"/>
          <w:szCs w:val="24"/>
        </w:rPr>
      </w:pPr>
      <w:r>
        <w:rPr>
          <w:rFonts w:hint="eastAsia" w:asciiTheme="minorEastAsia" w:hAnsiTheme="minorEastAsia"/>
          <w:szCs w:val="24"/>
        </w:rPr>
        <w:t>(3)支持向流程发起人（教师）在有效期内及时处理相关文件的提醒，提醒方式可以是系统消息或邮件。</w:t>
      </w:r>
    </w:p>
    <w:p>
      <w:pPr>
        <w:ind w:firstLine="480"/>
        <w:rPr>
          <w:rFonts w:asciiTheme="minorEastAsia" w:hAnsiTheme="minorEastAsia"/>
          <w:szCs w:val="24"/>
        </w:rPr>
      </w:pPr>
      <w:r>
        <w:rPr>
          <w:rFonts w:hint="eastAsia" w:asciiTheme="minorEastAsia" w:hAnsiTheme="minorEastAsia"/>
          <w:szCs w:val="24"/>
        </w:rPr>
        <w:t>(4)支持在证书下达后，教师上传至系统。</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（6）费用管理</w:t>
      </w:r>
    </w:p>
    <w:p>
      <w:pPr>
        <w:ind w:firstLine="480"/>
        <w:rPr>
          <w:rFonts w:asciiTheme="minorEastAsia" w:hAnsiTheme="minorEastAsia"/>
          <w:szCs w:val="24"/>
        </w:rPr>
      </w:pPr>
      <w:r>
        <w:rPr>
          <w:rFonts w:hint="eastAsia" w:asciiTheme="minorEastAsia" w:hAnsiTheme="minorEastAsia"/>
          <w:szCs w:val="24"/>
        </w:rPr>
        <w:t>(1)支持官方费用自动生成，并将多条费用明细合并生成账单，可由代理机构发起账单申请，学校对账单进行审核、请款、支付、核销。</w:t>
      </w:r>
    </w:p>
    <w:p>
      <w:pPr>
        <w:ind w:firstLine="480"/>
        <w:rPr>
          <w:rFonts w:asciiTheme="minorEastAsia" w:hAnsiTheme="minorEastAsia"/>
          <w:szCs w:val="24"/>
        </w:rPr>
      </w:pPr>
      <w:r>
        <w:rPr>
          <w:rFonts w:hint="eastAsia" w:asciiTheme="minorEastAsia" w:hAnsiTheme="minorEastAsia"/>
          <w:szCs w:val="24"/>
        </w:rPr>
        <w:t>(2)支持在专利案件下查看自动生成的费用明细，并可自动同步后续费用的状态。</w:t>
      </w:r>
    </w:p>
    <w:p>
      <w:pPr>
        <w:ind w:firstLine="480"/>
        <w:rPr>
          <w:rFonts w:asciiTheme="minorEastAsia" w:hAnsiTheme="minorEastAsia"/>
          <w:szCs w:val="24"/>
        </w:rPr>
      </w:pPr>
      <w:r>
        <w:rPr>
          <w:rFonts w:hint="eastAsia" w:asciiTheme="minorEastAsia" w:hAnsiTheme="minorEastAsia"/>
          <w:szCs w:val="24"/>
        </w:rPr>
        <w:t>(3)支持教师通过申请号、代理机构、专利名称、缴费期限等字段查询专利申请的费用信息。</w:t>
      </w:r>
    </w:p>
    <w:p>
      <w:pPr>
        <w:ind w:firstLine="480"/>
        <w:rPr>
          <w:rFonts w:asciiTheme="minorEastAsia" w:hAnsiTheme="minorEastAsia"/>
          <w:szCs w:val="24"/>
        </w:rPr>
      </w:pPr>
      <w:r>
        <w:rPr>
          <w:rFonts w:hint="eastAsia" w:asciiTheme="minorEastAsia" w:hAnsiTheme="minorEastAsia"/>
          <w:szCs w:val="24"/>
        </w:rPr>
        <w:t>(4)支持在缴费期限届满前一年的年底、前一个月、前一周、逾期的时候提醒教师还有哪些专利需要缴纳申请费、办理登记费等官费。</w:t>
      </w:r>
    </w:p>
    <w:p>
      <w:pPr>
        <w:ind w:firstLine="480"/>
        <w:rPr>
          <w:rFonts w:asciiTheme="minorEastAsia" w:hAnsiTheme="minorEastAsia"/>
          <w:szCs w:val="24"/>
        </w:rPr>
      </w:pPr>
      <w:r>
        <w:rPr>
          <w:rFonts w:hint="eastAsia" w:asciiTheme="minorEastAsia" w:hAnsiTheme="minorEastAsia"/>
          <w:szCs w:val="24"/>
        </w:rPr>
        <w:t>(5)支持通过系统消息、邮件的方式向教师推送缴费信息的提醒，支持单个案件进行提醒。</w:t>
      </w:r>
    </w:p>
    <w:p>
      <w:pPr>
        <w:ind w:firstLine="480"/>
        <w:rPr>
          <w:rFonts w:asciiTheme="minorEastAsia" w:hAnsiTheme="minorEastAsia"/>
          <w:szCs w:val="24"/>
        </w:rPr>
      </w:pPr>
      <w:r>
        <w:rPr>
          <w:rFonts w:hint="eastAsia" w:asciiTheme="minorEastAsia" w:hAnsiTheme="minorEastAsia"/>
          <w:szCs w:val="24"/>
        </w:rPr>
        <w:t>(6)系统支持自动监控所有专利的法律状态，对于到期未交费的案件，及时提醒教师缴费。</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（7）代理协同</w:t>
      </w:r>
      <w:r>
        <w:rPr>
          <w:rFonts w:hint="eastAsia"/>
        </w:rPr>
        <w:t>★</w:t>
      </w:r>
    </w:p>
    <w:p>
      <w:pPr>
        <w:ind w:firstLine="480"/>
        <w:rPr>
          <w:rFonts w:asciiTheme="minorEastAsia" w:hAnsiTheme="minorEastAsia"/>
          <w:szCs w:val="24"/>
        </w:rPr>
      </w:pPr>
      <w:r>
        <w:rPr>
          <w:rFonts w:hint="eastAsia" w:asciiTheme="minorEastAsia" w:hAnsiTheme="minorEastAsia"/>
          <w:szCs w:val="24"/>
        </w:rPr>
        <w:t>(1)针对非协议代理机构，需要向科技处提交协议或合同审批，科技处审核通过后，后续的状态维护由科研秘书或教师自行完成。</w:t>
      </w:r>
    </w:p>
    <w:p>
      <w:pPr>
        <w:ind w:firstLine="480"/>
        <w:rPr>
          <w:rFonts w:asciiTheme="minorEastAsia" w:hAnsiTheme="minorEastAsia"/>
          <w:szCs w:val="24"/>
        </w:rPr>
      </w:pPr>
      <w:r>
        <w:rPr>
          <w:rFonts w:hint="eastAsia" w:asciiTheme="minorEastAsia" w:hAnsiTheme="minorEastAsia"/>
          <w:szCs w:val="24"/>
        </w:rPr>
        <w:t>(2)支持科技处实时监控代理机构对教师专利代理的情况，并可针对代理服务进行考核。</w:t>
      </w:r>
    </w:p>
    <w:p>
      <w:pPr>
        <w:ind w:firstLine="480"/>
        <w:rPr>
          <w:rFonts w:asciiTheme="minorEastAsia" w:hAnsiTheme="minorEastAsia"/>
          <w:szCs w:val="24"/>
        </w:rPr>
      </w:pPr>
      <w:r>
        <w:rPr>
          <w:rFonts w:hint="eastAsia" w:asciiTheme="minorEastAsia" w:hAnsiTheme="minorEastAsia"/>
          <w:szCs w:val="24"/>
        </w:rPr>
        <w:t>(3)支持代理机构进行官文转达，线上交互。</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（8）统计分析服务</w:t>
      </w:r>
    </w:p>
    <w:p>
      <w:pPr>
        <w:pStyle w:val="8"/>
        <w:numPr>
          <w:ilvl w:val="0"/>
          <w:numId w:val="0"/>
        </w:numPr>
      </w:pPr>
      <w:r>
        <w:rPr>
          <w:rFonts w:hint="eastAsia"/>
        </w:rPr>
        <w:t>①专利统计</w:t>
      </w:r>
    </w:p>
    <w:p>
      <w:pPr>
        <w:ind w:firstLine="480"/>
        <w:rPr>
          <w:rFonts w:asciiTheme="minorEastAsia" w:hAnsiTheme="minorEastAsia"/>
          <w:szCs w:val="24"/>
        </w:rPr>
      </w:pPr>
      <w:r>
        <w:rPr>
          <w:rFonts w:hint="eastAsia" w:asciiTheme="minorEastAsia" w:hAnsiTheme="minorEastAsia"/>
          <w:szCs w:val="24"/>
        </w:rPr>
        <w:t>(1)支持以申请人、学校、学校等各级部门对专利的提交情况进行统计。</w:t>
      </w:r>
    </w:p>
    <w:p>
      <w:pPr>
        <w:ind w:firstLine="480"/>
        <w:rPr>
          <w:rFonts w:asciiTheme="minorEastAsia" w:hAnsiTheme="minorEastAsia"/>
          <w:szCs w:val="24"/>
        </w:rPr>
      </w:pPr>
      <w:r>
        <w:rPr>
          <w:rFonts w:hint="eastAsia" w:asciiTheme="minorEastAsia" w:hAnsiTheme="minorEastAsia"/>
          <w:szCs w:val="24"/>
        </w:rPr>
        <w:t>(2)支持统计申请人申请量、授权量。</w:t>
      </w:r>
    </w:p>
    <w:p>
      <w:pPr>
        <w:ind w:firstLine="480"/>
        <w:rPr>
          <w:rFonts w:asciiTheme="minorEastAsia" w:hAnsiTheme="minorEastAsia"/>
          <w:szCs w:val="24"/>
        </w:rPr>
      </w:pPr>
      <w:r>
        <w:rPr>
          <w:rFonts w:hint="eastAsia" w:asciiTheme="minorEastAsia" w:hAnsiTheme="minorEastAsia"/>
          <w:szCs w:val="24"/>
        </w:rPr>
        <w:t>(4)支持通过不同字段进行专利相关信息及状态的查询统计。</w:t>
      </w:r>
    </w:p>
    <w:p>
      <w:pPr>
        <w:ind w:firstLine="480"/>
        <w:rPr>
          <w:rFonts w:asciiTheme="minorEastAsia" w:hAnsiTheme="minorEastAsia"/>
          <w:szCs w:val="24"/>
        </w:rPr>
      </w:pPr>
      <w:r>
        <w:rPr>
          <w:rFonts w:hint="eastAsia" w:asciiTheme="minorEastAsia" w:hAnsiTheme="minorEastAsia"/>
          <w:szCs w:val="24"/>
        </w:rPr>
        <w:t>(5)支持自定义统计图表，并根据权限分配可查看的用户。</w:t>
      </w:r>
    </w:p>
    <w:p>
      <w:pPr>
        <w:pStyle w:val="8"/>
        <w:numPr>
          <w:ilvl w:val="0"/>
          <w:numId w:val="0"/>
        </w:numPr>
      </w:pPr>
      <w:r>
        <w:rPr>
          <w:rFonts w:hint="eastAsia"/>
        </w:rPr>
        <w:t>②版权统计</w:t>
      </w:r>
    </w:p>
    <w:p>
      <w:pPr>
        <w:ind w:firstLine="480"/>
        <w:jc w:val="left"/>
        <w:rPr>
          <w:rFonts w:asciiTheme="minorEastAsia" w:hAnsiTheme="minorEastAsia"/>
        </w:rPr>
      </w:pPr>
      <w:r>
        <w:rPr>
          <w:rFonts w:hint="eastAsia" w:asciiTheme="minorEastAsia" w:hAnsiTheme="minorEastAsia"/>
        </w:rPr>
        <w:t>(1)支持通过多组查询条件，不同的查询逻辑(如：包含、不包含、为空、不为空等)组合条件查询统计版权信息。</w:t>
      </w:r>
    </w:p>
    <w:p>
      <w:pPr>
        <w:ind w:firstLine="480"/>
        <w:jc w:val="left"/>
        <w:rPr>
          <w:rFonts w:asciiTheme="minorEastAsia" w:hAnsiTheme="minorEastAsia"/>
        </w:rPr>
      </w:pPr>
      <w:r>
        <w:rPr>
          <w:rFonts w:hint="eastAsia" w:asciiTheme="minorEastAsia" w:hAnsiTheme="minorEastAsia"/>
        </w:rPr>
        <w:t>(2)支持导出版权信息查询结果Excel。</w:t>
      </w:r>
    </w:p>
    <w:p>
      <w:pPr>
        <w:ind w:firstLine="480"/>
        <w:jc w:val="left"/>
        <w:rPr>
          <w:rFonts w:asciiTheme="minorEastAsia" w:hAnsiTheme="minorEastAsia"/>
        </w:rPr>
      </w:pPr>
      <w:r>
        <w:rPr>
          <w:rFonts w:hint="eastAsia" w:asciiTheme="minorEastAsia" w:hAnsiTheme="minorEastAsia"/>
        </w:rPr>
        <w:t>(3)支持保存自定义常用查询条件模板，后续可选择模板快速查询。</w:t>
      </w:r>
    </w:p>
    <w:p>
      <w:pPr>
        <w:ind w:firstLine="480"/>
        <w:jc w:val="left"/>
        <w:rPr>
          <w:rFonts w:asciiTheme="minorEastAsia" w:hAnsiTheme="minorEastAsia"/>
        </w:rPr>
      </w:pPr>
      <w:r>
        <w:rPr>
          <w:rFonts w:hint="eastAsia" w:asciiTheme="minorEastAsia" w:hAnsiTheme="minorEastAsia"/>
        </w:rPr>
        <w:t>(4)支持自定义选择需要导出的具体的字段，并保存导出字段模板。</w:t>
      </w:r>
    </w:p>
    <w:p>
      <w:pPr>
        <w:ind w:firstLine="480"/>
        <w:jc w:val="left"/>
        <w:rPr>
          <w:rFonts w:asciiTheme="minorEastAsia" w:hAnsiTheme="minorEastAsia"/>
        </w:rPr>
      </w:pPr>
      <w:r>
        <w:rPr>
          <w:rFonts w:hint="eastAsia" w:asciiTheme="minorEastAsia" w:hAnsiTheme="minorEastAsia"/>
        </w:rPr>
        <w:t>(5)支持控制查询数据权限，根据个人实际角色查询不同范围内的案件信息，数据的权限可由系统管理员进行配置。</w:t>
      </w:r>
    </w:p>
    <w:p>
      <w:pPr>
        <w:ind w:firstLine="480"/>
        <w:jc w:val="left"/>
        <w:rPr>
          <w:rFonts w:asciiTheme="minorEastAsia" w:hAnsiTheme="minorEastAsia"/>
        </w:rPr>
      </w:pPr>
      <w:r>
        <w:rPr>
          <w:rFonts w:hint="eastAsia" w:asciiTheme="minorEastAsia" w:hAnsiTheme="minorEastAsia"/>
        </w:rPr>
        <w:t>(6)支持自定义统计图表，并根据权限分配可查看的用户。</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（9）用户角色</w:t>
      </w:r>
      <w:r>
        <w:rPr>
          <w:rFonts w:hint="eastAsia"/>
        </w:rPr>
        <w:t>★</w:t>
      </w:r>
    </w:p>
    <w:p>
      <w:pPr>
        <w:pStyle w:val="8"/>
        <w:numPr>
          <w:ilvl w:val="0"/>
          <w:numId w:val="0"/>
        </w:numPr>
      </w:pPr>
      <w:r>
        <w:rPr>
          <w:rFonts w:hint="eastAsia"/>
        </w:rPr>
        <w:t>①科研教师</w:t>
      </w:r>
    </w:p>
    <w:p>
      <w:pPr>
        <w:ind w:firstLine="480"/>
      </w:pPr>
      <w:r>
        <w:rPr>
          <w:rFonts w:hint="eastAsia"/>
        </w:rPr>
        <w:t>教师信息从我校相关系统自动获取</w:t>
      </w:r>
      <w:r>
        <w:rPr>
          <w:rFonts w:hint="eastAsia"/>
          <w:lang w:eastAsia="zh-CN"/>
        </w:rPr>
        <w:t>，</w:t>
      </w:r>
      <w:r>
        <w:rPr>
          <w:rFonts w:hint="eastAsia"/>
          <w:lang w:val="en-US" w:eastAsia="zh-CN"/>
        </w:rPr>
        <w:t>与智慧校园系统集成</w:t>
      </w:r>
      <w:r>
        <w:rPr>
          <w:rFonts w:hint="eastAsia"/>
        </w:rPr>
        <w:t>。支持线上提交专利申请、版权提案，教师可以查询自己的专利、版权，可根据代理机构意见完善技术方案，配合代理机构完成专利申请，并向科技处报备专利申请、版权登记等情况。</w:t>
      </w:r>
    </w:p>
    <w:p>
      <w:pPr>
        <w:pStyle w:val="8"/>
        <w:numPr>
          <w:ilvl w:val="0"/>
          <w:numId w:val="0"/>
        </w:numPr>
      </w:pPr>
      <w:r>
        <w:rPr>
          <w:rFonts w:hint="eastAsia"/>
        </w:rPr>
        <w:t>②科研秘书</w:t>
      </w:r>
    </w:p>
    <w:p>
      <w:pPr>
        <w:ind w:firstLine="480"/>
      </w:pPr>
      <w:r>
        <w:rPr>
          <w:rFonts w:hint="eastAsia"/>
        </w:rPr>
        <w:t>支持科研秘书审核、评价教师提交的专利申请，并可查询该学校的专利申请、版权登记情况，配合教师在线上完成学校知识产权申请、维护、管理等相关工作。</w:t>
      </w:r>
    </w:p>
    <w:p>
      <w:pPr>
        <w:pStyle w:val="8"/>
        <w:numPr>
          <w:ilvl w:val="0"/>
          <w:numId w:val="0"/>
        </w:numPr>
      </w:pPr>
      <w:bookmarkStart w:id="25" w:name="_Hlk168300386"/>
      <w:r>
        <w:rPr>
          <w:rFonts w:hint="eastAsia"/>
        </w:rPr>
        <w:t>③</w:t>
      </w:r>
      <w:bookmarkEnd w:id="25"/>
      <w:r>
        <w:rPr>
          <w:rFonts w:hint="eastAsia"/>
        </w:rPr>
        <w:t>院系领导</w:t>
      </w:r>
    </w:p>
    <w:p>
      <w:pPr>
        <w:ind w:firstLine="480"/>
      </w:pPr>
      <w:r>
        <w:rPr>
          <w:rFonts w:hint="eastAsia"/>
        </w:rPr>
        <w:t>支持对院系内专利申请进行审批，并能够查询院系所有专利申请、版权登记等情况。</w:t>
      </w:r>
    </w:p>
    <w:p>
      <w:pPr>
        <w:pStyle w:val="8"/>
        <w:numPr>
          <w:ilvl w:val="0"/>
          <w:numId w:val="0"/>
        </w:numPr>
      </w:pPr>
      <w:r>
        <w:rPr>
          <w:rFonts w:hint="eastAsia"/>
        </w:rPr>
        <w:t>④科技处</w:t>
      </w:r>
    </w:p>
    <w:p>
      <w:pPr>
        <w:ind w:firstLine="480"/>
      </w:pPr>
      <w:r>
        <w:rPr>
          <w:rFonts w:hint="eastAsia"/>
        </w:rPr>
        <w:t>支持对学校所有知识产权资产进行统一、集中化线上管理，能够查询各院系提交的专利申请、版权登记等信息，并可对具体业务进行查询、导出、统计分析等。</w:t>
      </w:r>
    </w:p>
    <w:p>
      <w:pPr>
        <w:pStyle w:val="8"/>
        <w:numPr>
          <w:ilvl w:val="0"/>
          <w:numId w:val="0"/>
        </w:numPr>
      </w:pPr>
      <w:r>
        <w:rPr>
          <w:rFonts w:hint="eastAsia"/>
        </w:rPr>
        <w:t>⑤代理机构</w:t>
      </w:r>
    </w:p>
    <w:p>
      <w:pPr>
        <w:ind w:firstLine="480"/>
      </w:pPr>
      <w:r>
        <w:rPr>
          <w:rFonts w:hint="eastAsia"/>
        </w:rPr>
        <w:t>支持针对代理量比较大的代理机构，开通代理权限，由科技处分配账号密码，各院系可将学校内部审核通过的专利推送至该代理机构进行申请文件递交或官方答复。</w:t>
      </w:r>
    </w:p>
    <w:p>
      <w:pPr>
        <w:pStyle w:val="7"/>
        <w:numPr>
          <w:ilvl w:val="0"/>
          <w:numId w:val="0"/>
        </w:numPr>
        <w:rPr>
          <w:rFonts w:asciiTheme="minorEastAsia" w:hAnsiTheme="minorEastAsia" w:eastAsiaTheme="minorEastAsia"/>
        </w:rPr>
      </w:pPr>
      <w:r>
        <w:rPr>
          <w:rFonts w:hint="eastAsia" w:asciiTheme="minorEastAsia" w:hAnsiTheme="minorEastAsia" w:eastAsiaTheme="minorEastAsia"/>
        </w:rPr>
        <w:t>（10）权限管理</w:t>
      </w:r>
      <w:r>
        <w:rPr>
          <w:rFonts w:hint="eastAsia"/>
        </w:rPr>
        <w:t>★</w:t>
      </w:r>
    </w:p>
    <w:p>
      <w:pPr>
        <w:pStyle w:val="8"/>
        <w:numPr>
          <w:ilvl w:val="0"/>
          <w:numId w:val="0"/>
        </w:numPr>
      </w:pPr>
      <w:r>
        <w:rPr>
          <w:rFonts w:hint="eastAsia"/>
        </w:rPr>
        <w:t>①功能权限</w:t>
      </w:r>
    </w:p>
    <w:p>
      <w:pPr>
        <w:ind w:firstLine="480"/>
        <w:rPr>
          <w:rFonts w:asciiTheme="minorEastAsia" w:hAnsiTheme="minorEastAsia"/>
          <w:szCs w:val="24"/>
        </w:rPr>
      </w:pPr>
      <w:r>
        <w:rPr>
          <w:rFonts w:hint="eastAsia" w:asciiTheme="minorEastAsia" w:hAnsiTheme="minorEastAsia"/>
          <w:szCs w:val="24"/>
        </w:rPr>
        <w:t>(1)支持按照人员授权或按照条件授权。按人员授权为当前角色是固定的人员，按条件授权为当前角色不是固定的某一个人员，多个人员或者一类人时，按照条件筛选授权。</w:t>
      </w:r>
    </w:p>
    <w:p>
      <w:pPr>
        <w:ind w:firstLine="480"/>
        <w:rPr>
          <w:rFonts w:asciiTheme="minorEastAsia" w:hAnsiTheme="minorEastAsia"/>
          <w:szCs w:val="24"/>
        </w:rPr>
      </w:pPr>
      <w:r>
        <w:rPr>
          <w:rFonts w:hint="eastAsia" w:asciiTheme="minorEastAsia" w:hAnsiTheme="minorEastAsia"/>
          <w:szCs w:val="24"/>
        </w:rPr>
        <w:t>(2)支持对学校不同角色的用户授予不同的功能权限。</w:t>
      </w:r>
    </w:p>
    <w:p>
      <w:pPr>
        <w:pStyle w:val="8"/>
        <w:numPr>
          <w:ilvl w:val="0"/>
          <w:numId w:val="0"/>
        </w:numPr>
      </w:pPr>
      <w:r>
        <w:rPr>
          <w:rFonts w:hint="eastAsia"/>
        </w:rPr>
        <w:t>②表权限</w:t>
      </w:r>
    </w:p>
    <w:p>
      <w:pPr>
        <w:ind w:firstLine="480"/>
      </w:pPr>
      <w:r>
        <w:rPr>
          <w:rFonts w:hint="eastAsia"/>
        </w:rPr>
        <w:t>支持对数据表中字段进行权限设置，设置权限包括：可编辑、可读取、不可见。</w:t>
      </w:r>
    </w:p>
    <w:p>
      <w:pPr>
        <w:pStyle w:val="8"/>
        <w:numPr>
          <w:ilvl w:val="0"/>
          <w:numId w:val="0"/>
        </w:numPr>
      </w:pPr>
      <w:r>
        <w:rPr>
          <w:rFonts w:hint="eastAsia"/>
        </w:rPr>
        <w:t>③数据权限</w:t>
      </w:r>
    </w:p>
    <w:p>
      <w:pPr>
        <w:pStyle w:val="2"/>
        <w:spacing w:line="360" w:lineRule="auto"/>
        <w:ind w:firstLine="448"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支持根据用户角色名授予权限，设置查看“数据浏览范围”增加条件过滤，条件内浏览权限设置，条件内编辑（用户在授权范围内可以对数据进行编辑）。</w:t>
      </w:r>
    </w:p>
    <w:p>
      <w:pPr>
        <w:pStyle w:val="5"/>
        <w:numPr>
          <w:ilvl w:val="0"/>
          <w:numId w:val="0"/>
        </w:numPr>
        <w:rPr>
          <w:rFonts w:asciiTheme="minorEastAsia" w:hAnsiTheme="minorEastAsia" w:eastAsiaTheme="minorEastAsia"/>
        </w:rPr>
      </w:pPr>
      <w:bookmarkStart w:id="26" w:name="_Toc168300560"/>
      <w:r>
        <w:rPr>
          <w:rFonts w:hint="eastAsia" w:asciiTheme="minorEastAsia" w:hAnsiTheme="minorEastAsia" w:eastAsiaTheme="minorEastAsia"/>
        </w:rPr>
        <w:t>（二）服务期限与进场期</w:t>
      </w:r>
      <w:bookmarkEnd w:id="26"/>
    </w:p>
    <w:p>
      <w:pPr>
        <w:ind w:firstLine="480"/>
        <w:rPr>
          <w:rFonts w:cs="宋体" w:asciiTheme="minorEastAsia" w:hAnsiTheme="minorEastAsia"/>
          <w:kern w:val="0"/>
        </w:rPr>
      </w:pPr>
      <w:r>
        <w:rPr>
          <w:rFonts w:hint="eastAsia" w:asciiTheme="minorEastAsia" w:hAnsiTheme="minorEastAsia"/>
        </w:rPr>
        <w:t>租赁</w:t>
      </w:r>
      <w:r>
        <w:rPr>
          <w:rFonts w:hint="eastAsia" w:cs="宋体" w:asciiTheme="minorEastAsia" w:hAnsiTheme="minorEastAsia"/>
          <w:kern w:val="0"/>
        </w:rPr>
        <w:t>服务期限:一年，双方约定服务模式。</w:t>
      </w:r>
    </w:p>
    <w:p>
      <w:pPr>
        <w:ind w:firstLine="480"/>
        <w:rPr>
          <w:rFonts w:cs="宋体" w:asciiTheme="minorEastAsia" w:hAnsiTheme="minorEastAsia"/>
          <w:kern w:val="0"/>
        </w:rPr>
      </w:pPr>
      <w:r>
        <w:rPr>
          <w:rFonts w:hint="eastAsia" w:cs="宋体" w:asciiTheme="minorEastAsia" w:hAnsiTheme="minorEastAsia"/>
          <w:kern w:val="0"/>
        </w:rPr>
        <w:t>合同签订后</w:t>
      </w:r>
      <w:r>
        <w:rPr>
          <w:rFonts w:cs="宋体" w:asciiTheme="minorEastAsia" w:hAnsiTheme="minorEastAsia"/>
          <w:kern w:val="0"/>
        </w:rPr>
        <w:t>10</w:t>
      </w:r>
      <w:r>
        <w:rPr>
          <w:rFonts w:hint="eastAsia" w:cs="宋体" w:asciiTheme="minorEastAsia" w:hAnsiTheme="minorEastAsia"/>
          <w:kern w:val="0"/>
        </w:rPr>
        <w:t>个日历日内，成交供应商应启动项目服务。</w:t>
      </w:r>
    </w:p>
    <w:p>
      <w:pPr>
        <w:pStyle w:val="5"/>
        <w:numPr>
          <w:ilvl w:val="0"/>
          <w:numId w:val="0"/>
        </w:numPr>
        <w:rPr>
          <w:rFonts w:asciiTheme="minorEastAsia" w:hAnsiTheme="minorEastAsia" w:eastAsiaTheme="minorEastAsia"/>
        </w:rPr>
      </w:pPr>
      <w:bookmarkStart w:id="27" w:name="_Toc105704595"/>
      <w:bookmarkStart w:id="28" w:name="_Toc107413226"/>
      <w:bookmarkStart w:id="29" w:name="_Toc168300561"/>
      <w:r>
        <w:rPr>
          <w:rFonts w:hint="eastAsia" w:asciiTheme="minorEastAsia" w:hAnsiTheme="minorEastAsia" w:eastAsiaTheme="minorEastAsia"/>
        </w:rPr>
        <w:t>（三）租赁服务要求</w:t>
      </w:r>
      <w:bookmarkEnd w:id="27"/>
      <w:bookmarkEnd w:id="28"/>
      <w:bookmarkEnd w:id="29"/>
    </w:p>
    <w:p>
      <w:pPr>
        <w:ind w:firstLine="480"/>
        <w:rPr>
          <w:rFonts w:cs="宋体" w:asciiTheme="minorEastAsia" w:hAnsiTheme="minorEastAsia"/>
          <w:kern w:val="0"/>
        </w:rPr>
      </w:pPr>
      <w:r>
        <w:rPr>
          <w:rFonts w:hint="eastAsia" w:cs="宋体" w:asciiTheme="minorEastAsia" w:hAnsiTheme="minorEastAsia"/>
          <w:kern w:val="0"/>
        </w:rPr>
        <w:t>1、电话维护/远程维护服务</w:t>
      </w:r>
    </w:p>
    <w:p>
      <w:pPr>
        <w:ind w:firstLine="480"/>
        <w:rPr>
          <w:rFonts w:cs="宋体" w:asciiTheme="minorEastAsia" w:hAnsiTheme="minorEastAsia"/>
          <w:kern w:val="0"/>
        </w:rPr>
      </w:pPr>
      <w:r>
        <w:rPr>
          <w:rFonts w:hint="eastAsia" w:cs="宋体" w:asciiTheme="minorEastAsia" w:hAnsiTheme="minorEastAsia"/>
          <w:kern w:val="0"/>
        </w:rPr>
        <w:t>服务时间:不间断5×8小时。响应时间:接到反馈后，应承诺专人负责立即响应，0.5个小时内提供电话/远程技术支持，如果电话/远程技术支持解决不了，则转为现场维护。</w:t>
      </w:r>
    </w:p>
    <w:p>
      <w:pPr>
        <w:ind w:firstLine="480"/>
        <w:rPr>
          <w:rFonts w:cs="宋体" w:asciiTheme="minorEastAsia" w:hAnsiTheme="minorEastAsia"/>
          <w:kern w:val="0"/>
        </w:rPr>
      </w:pPr>
      <w:r>
        <w:rPr>
          <w:rFonts w:hint="eastAsia" w:cs="宋体" w:asciiTheme="minorEastAsia" w:hAnsiTheme="minorEastAsia"/>
          <w:kern w:val="0"/>
        </w:rPr>
        <w:t>2、现场维护服务</w:t>
      </w:r>
    </w:p>
    <w:p>
      <w:pPr>
        <w:ind w:firstLine="480"/>
        <w:rPr>
          <w:rFonts w:cs="宋体" w:asciiTheme="minorEastAsia" w:hAnsiTheme="minorEastAsia"/>
          <w:kern w:val="0"/>
        </w:rPr>
      </w:pPr>
      <w:r>
        <w:rPr>
          <w:rFonts w:hint="eastAsia" w:cs="宋体" w:asciiTheme="minorEastAsia" w:hAnsiTheme="minorEastAsia"/>
          <w:kern w:val="0"/>
        </w:rPr>
        <w:t>确认需要进行现场维护服务的，应立即作出响应支持，派专人到校进行现场支持。</w:t>
      </w:r>
    </w:p>
    <w:p>
      <w:pPr>
        <w:ind w:firstLine="480"/>
        <w:rPr>
          <w:rFonts w:cs="宋体" w:asciiTheme="minorEastAsia" w:hAnsiTheme="minorEastAsia"/>
          <w:kern w:val="0"/>
        </w:rPr>
      </w:pPr>
      <w:r>
        <w:rPr>
          <w:rFonts w:hint="eastAsia" w:cs="宋体" w:asciiTheme="minorEastAsia" w:hAnsiTheme="minorEastAsia"/>
          <w:kern w:val="0"/>
        </w:rPr>
        <w:t>3、技术支持和升级</w:t>
      </w:r>
    </w:p>
    <w:p>
      <w:pPr>
        <w:ind w:firstLine="480"/>
        <w:rPr>
          <w:rFonts w:cs="宋体" w:asciiTheme="minorEastAsia" w:hAnsiTheme="minorEastAsia"/>
          <w:kern w:val="0"/>
        </w:rPr>
      </w:pPr>
      <w:r>
        <w:rPr>
          <w:rFonts w:hint="eastAsia" w:cs="宋体" w:asciiTheme="minorEastAsia" w:hAnsiTheme="minorEastAsia"/>
          <w:kern w:val="0"/>
        </w:rPr>
        <w:t>需要协助为本项目的推广过程中提供技术指导和技术保障。</w:t>
      </w:r>
    </w:p>
    <w:p>
      <w:pPr>
        <w:ind w:firstLine="480"/>
        <w:rPr>
          <w:rFonts w:cs="宋体" w:asciiTheme="minorEastAsia" w:hAnsiTheme="minorEastAsia"/>
          <w:kern w:val="0"/>
        </w:rPr>
      </w:pPr>
      <w:r>
        <w:rPr>
          <w:rFonts w:hint="eastAsia" w:cs="宋体" w:asciiTheme="minorEastAsia" w:hAnsiTheme="minorEastAsia"/>
          <w:kern w:val="0"/>
        </w:rPr>
        <w:t>在现场技术支持服务中培训相关人员。</w:t>
      </w:r>
    </w:p>
    <w:p>
      <w:pPr>
        <w:ind w:firstLine="480"/>
        <w:rPr>
          <w:rFonts w:cs="宋体" w:asciiTheme="minorEastAsia" w:hAnsiTheme="minorEastAsia"/>
          <w:kern w:val="0"/>
        </w:rPr>
      </w:pPr>
      <w:r>
        <w:rPr>
          <w:rFonts w:hint="eastAsia" w:cs="宋体" w:asciiTheme="minorEastAsia" w:hAnsiTheme="minorEastAsia"/>
          <w:kern w:val="0"/>
        </w:rPr>
        <w:t>帮助建立技术服务交流渠道，如举办技术讲座，交流文档等。</w:t>
      </w:r>
    </w:p>
    <w:p>
      <w:pPr>
        <w:ind w:firstLine="480"/>
        <w:rPr>
          <w:rFonts w:cs="宋体" w:asciiTheme="minorEastAsia" w:hAnsiTheme="minorEastAsia"/>
          <w:kern w:val="0"/>
        </w:rPr>
      </w:pPr>
      <w:r>
        <w:rPr>
          <w:rFonts w:hint="eastAsia" w:cs="宋体" w:asciiTheme="minorEastAsia" w:hAnsiTheme="minorEastAsia"/>
          <w:kern w:val="0"/>
        </w:rPr>
        <w:t>需要有较为完善的平台管理及升级制度，对平台进行不定期升级，保障服务内容稳定、可持续。</w:t>
      </w:r>
    </w:p>
    <w:p>
      <w:pPr>
        <w:ind w:firstLine="480"/>
        <w:rPr>
          <w:rFonts w:cs="宋体" w:asciiTheme="minorEastAsia" w:hAnsiTheme="minorEastAsia"/>
          <w:kern w:val="0"/>
        </w:rPr>
      </w:pPr>
      <w:r>
        <w:rPr>
          <w:rFonts w:hint="eastAsia" w:cs="宋体" w:asciiTheme="minorEastAsia" w:hAnsiTheme="minorEastAsia"/>
          <w:kern w:val="0"/>
        </w:rPr>
        <w:t>租赁服务提供方应遵守信息安全等级保护的相关标准和要求，确保信息系统满足相应的安全等级。</w:t>
      </w:r>
    </w:p>
    <w:p>
      <w:pPr>
        <w:pStyle w:val="2"/>
        <w:spacing w:line="360" w:lineRule="auto"/>
        <w:ind w:firstLine="450" w:firstLineChars="200"/>
        <w:rPr>
          <w:rFonts w:ascii="宋体" w:hAnsi="宋体" w:eastAsia="宋体" w:cs="宋体"/>
          <w:sz w:val="24"/>
        </w:rPr>
      </w:pPr>
      <w:r>
        <w:rPr>
          <w:rFonts w:hint="eastAsia" w:ascii="宋体" w:hAnsi="宋体" w:eastAsia="宋体" w:cs="宋体"/>
          <w:kern w:val="0"/>
          <w:sz w:val="24"/>
        </w:rPr>
        <w:t>4、租赁合约期满后的信息安全</w:t>
      </w:r>
      <w:r>
        <w:rPr>
          <w:rFonts w:hint="eastAsia" w:ascii="宋体" w:hAnsi="宋体" w:eastAsia="宋体" w:cs="宋体"/>
          <w:kern w:val="0"/>
          <w:sz w:val="24"/>
          <w:highlight w:val="none"/>
        </w:rPr>
        <w:t>约定</w:t>
      </w:r>
    </w:p>
    <w:p>
      <w:pPr>
        <w:numPr>
          <w:ilvl w:val="255"/>
          <w:numId w:val="0"/>
        </w:numPr>
        <w:spacing w:line="360" w:lineRule="auto"/>
        <w:ind w:firstLine="480" w:firstLineChars="200"/>
        <w:rPr>
          <w:rFonts w:cs="宋体" w:asciiTheme="minorEastAsia" w:hAnsiTheme="minorEastAsia"/>
          <w:kern w:val="0"/>
        </w:rPr>
      </w:pPr>
      <w:r>
        <w:rPr>
          <w:rFonts w:hint="eastAsia" w:cs="宋体" w:asciiTheme="minorEastAsia" w:hAnsiTheme="minorEastAsia"/>
          <w:kern w:val="0"/>
        </w:rPr>
        <w:t>（1）</w:t>
      </w:r>
      <w:r>
        <w:rPr>
          <w:rFonts w:hint="eastAsia" w:cs="宋体" w:asciiTheme="minorEastAsia" w:hAnsiTheme="minorEastAsia"/>
          <w:color w:val="000000" w:themeColor="text1"/>
          <w:kern w:val="0"/>
          <w:lang w:val="en-US" w:eastAsia="zh-CN"/>
          <w14:textFill>
            <w14:solidFill>
              <w14:schemeClr w14:val="tx1"/>
            </w14:solidFill>
          </w14:textFill>
        </w:rPr>
        <w:t>知识产权管理</w:t>
      </w:r>
      <w:r>
        <w:rPr>
          <w:rFonts w:hint="eastAsia" w:cs="宋体" w:asciiTheme="minorEastAsia" w:hAnsiTheme="minorEastAsia"/>
          <w:color w:val="000000" w:themeColor="text1"/>
          <w:kern w:val="0"/>
          <w14:textFill>
            <w14:solidFill>
              <w14:schemeClr w14:val="tx1"/>
            </w14:solidFill>
          </w14:textFill>
        </w:rPr>
        <w:t>服务系统在我校部署</w:t>
      </w:r>
      <w:r>
        <w:rPr>
          <w:rFonts w:hint="eastAsia" w:cs="宋体" w:asciiTheme="minorEastAsia" w:hAnsiTheme="minorEastAsia"/>
          <w:color w:val="000000" w:themeColor="text1"/>
          <w:kern w:val="0"/>
          <w:lang w:eastAsia="zh-CN"/>
          <w14:textFill>
            <w14:solidFill>
              <w14:schemeClr w14:val="tx1"/>
            </w14:solidFill>
          </w14:textFill>
        </w:rPr>
        <w:t>。</w:t>
      </w:r>
      <w:r>
        <w:rPr>
          <w:rFonts w:hint="eastAsia" w:eastAsia="宋体" w:cs="宋体" w:asciiTheme="minorEastAsia" w:hAnsiTheme="minorEastAsia"/>
          <w:kern w:val="0"/>
        </w:rPr>
        <w:t>租赁</w:t>
      </w:r>
      <w:r>
        <w:rPr>
          <w:rFonts w:hint="eastAsia" w:cs="宋体" w:asciiTheme="minorEastAsia" w:hAnsiTheme="minorEastAsia"/>
          <w:kern w:val="0"/>
        </w:rPr>
        <w:t>合同期满后，租赁服务提供方应确保所有由我校存储在信息系统中的数据被安全地归还给我校；</w:t>
      </w:r>
    </w:p>
    <w:p>
      <w:pPr>
        <w:numPr>
          <w:ilvl w:val="255"/>
          <w:numId w:val="0"/>
        </w:numPr>
        <w:spacing w:line="360" w:lineRule="auto"/>
        <w:ind w:firstLine="480" w:firstLineChars="200"/>
        <w:rPr>
          <w:rFonts w:cs="宋体" w:asciiTheme="minorEastAsia" w:hAnsiTheme="minorEastAsia"/>
          <w:kern w:val="0"/>
        </w:rPr>
      </w:pPr>
      <w:r>
        <w:rPr>
          <w:rFonts w:hint="eastAsia" w:cs="宋体" w:asciiTheme="minorEastAsia" w:hAnsiTheme="minorEastAsia"/>
          <w:kern w:val="0"/>
        </w:rPr>
        <w:t>（2）租赁服务提供方需要对信息系统进行彻底的清理，移除所有我校相关数据和配置，恢复到初始状态；</w:t>
      </w:r>
    </w:p>
    <w:p>
      <w:pPr>
        <w:numPr>
          <w:ilvl w:val="255"/>
          <w:numId w:val="0"/>
        </w:numPr>
        <w:spacing w:line="360" w:lineRule="auto"/>
        <w:ind w:firstLine="480" w:firstLineChars="200"/>
        <w:rPr>
          <w:rFonts w:cs="宋体" w:asciiTheme="minorEastAsia" w:hAnsiTheme="minorEastAsia"/>
          <w:kern w:val="0"/>
        </w:rPr>
      </w:pPr>
      <w:r>
        <w:rPr>
          <w:rFonts w:hint="eastAsia" w:cs="宋体" w:asciiTheme="minorEastAsia" w:hAnsiTheme="minorEastAsia"/>
          <w:kern w:val="0"/>
        </w:rPr>
        <w:t>（3）即使合同期满，租赁服务提供方依然需要遵守保密义务，不得泄露或使用在租赁期间获得的我校相关信息和数据。</w:t>
      </w:r>
    </w:p>
    <w:p>
      <w:pPr>
        <w:numPr>
          <w:ilvl w:val="255"/>
          <w:numId w:val="0"/>
        </w:numPr>
        <w:spacing w:line="360" w:lineRule="auto"/>
        <w:ind w:firstLine="480" w:firstLineChars="200"/>
        <w:rPr>
          <w:rFonts w:cs="宋体" w:asciiTheme="minorEastAsia" w:hAnsiTheme="minorEastAsia"/>
          <w:kern w:val="0"/>
        </w:rPr>
      </w:pPr>
      <w:r>
        <w:rPr>
          <w:rFonts w:hint="eastAsia" w:cs="宋体" w:asciiTheme="minorEastAsia" w:hAnsiTheme="minorEastAsia"/>
          <w:kern w:val="0"/>
        </w:rPr>
        <w:t>（4）合同期满后，我校可能要求进行安全</w:t>
      </w:r>
      <w:r>
        <w:rPr>
          <w:rFonts w:hint="eastAsia" w:cs="宋体" w:asciiTheme="minorEastAsia" w:hAnsiTheme="minorEastAsia"/>
          <w:kern w:val="0"/>
          <w:lang w:val="en-US" w:eastAsia="zh-CN"/>
        </w:rPr>
        <w:t>评估</w:t>
      </w:r>
      <w:r>
        <w:rPr>
          <w:rFonts w:hint="eastAsia" w:cs="宋体" w:asciiTheme="minorEastAsia" w:hAnsiTheme="minorEastAsia"/>
          <w:kern w:val="0"/>
        </w:rPr>
        <w:t>，以确保所有数据都已安全归还或销毁，信息系统已经清理干净。</w:t>
      </w:r>
    </w:p>
    <w:p>
      <w:pPr>
        <w:numPr>
          <w:ilvl w:val="255"/>
          <w:numId w:val="0"/>
        </w:numPr>
        <w:spacing w:line="360" w:lineRule="auto"/>
        <w:ind w:firstLine="480" w:firstLineChars="200"/>
        <w:rPr>
          <w:rFonts w:cs="宋体" w:asciiTheme="minorEastAsia" w:hAnsiTheme="minorEastAsia"/>
          <w:kern w:val="0"/>
        </w:rPr>
      </w:pPr>
      <w:r>
        <w:rPr>
          <w:rFonts w:hint="eastAsia" w:cs="宋体" w:asciiTheme="minorEastAsia" w:hAnsiTheme="minorEastAsia"/>
          <w:color w:val="060607"/>
          <w:kern w:val="0"/>
          <w:shd w:val="clear" w:color="auto" w:fill="FFFFFF"/>
        </w:rPr>
        <w:t>（5）</w:t>
      </w:r>
      <w:r>
        <w:rPr>
          <w:rFonts w:hint="eastAsia" w:cs="宋体" w:asciiTheme="minorEastAsia" w:hAnsiTheme="minorEastAsia" w:eastAsiaTheme="minorEastAsia"/>
          <w:spacing w:val="0"/>
          <w:kern w:val="0"/>
          <w:sz w:val="24"/>
          <w:szCs w:val="22"/>
          <w:shd w:val="clear"/>
        </w:rPr>
        <w:t>合同期满后，如果</w:t>
      </w:r>
      <w:r>
        <w:rPr>
          <w:rFonts w:hint="eastAsia" w:cs="宋体" w:asciiTheme="minorEastAsia" w:hAnsiTheme="minorEastAsia"/>
          <w:kern w:val="0"/>
        </w:rPr>
        <w:t>我校</w:t>
      </w:r>
      <w:r>
        <w:rPr>
          <w:rFonts w:hint="eastAsia" w:cs="宋体" w:asciiTheme="minorEastAsia" w:hAnsiTheme="minorEastAsia" w:eastAsiaTheme="minorEastAsia"/>
          <w:spacing w:val="0"/>
          <w:kern w:val="0"/>
          <w:sz w:val="24"/>
          <w:szCs w:val="22"/>
          <w:shd w:val="clear"/>
        </w:rPr>
        <w:t>需要，租赁服务提供方可以提供后续服务，如数据迁移、系统交接等。</w:t>
      </w:r>
    </w:p>
    <w:p>
      <w:pPr>
        <w:numPr>
          <w:ilvl w:val="255"/>
          <w:numId w:val="0"/>
        </w:numPr>
        <w:ind w:firstLine="480" w:firstLineChars="200"/>
        <w:rPr>
          <w:rFonts w:cs="宋体" w:asciiTheme="minorEastAsia" w:hAnsiTheme="minorEastAsia"/>
          <w:kern w:val="0"/>
        </w:rPr>
      </w:pPr>
      <w:r>
        <w:rPr>
          <w:rFonts w:hint="eastAsia" w:cs="宋体" w:asciiTheme="minorEastAsia" w:hAnsiTheme="minorEastAsia"/>
          <w:kern w:val="0"/>
        </w:rPr>
        <w:t>（6）合同期满后，如果租赁服务提供方未能履行上述信息安全约定，应承担相应的违约责任。</w:t>
      </w:r>
    </w:p>
    <w:p>
      <w:pPr>
        <w:pStyle w:val="2"/>
        <w:spacing w:line="360" w:lineRule="auto"/>
        <w:ind w:firstLine="0" w:firstLineChars="0"/>
        <w:rPr>
          <w:rFonts w:ascii="金山简黑体" w:hAnsi="Courier New" w:eastAsia="金山简黑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SC-Regular">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209988"/>
    </w:sdtPr>
    <w:sdtEndPr>
      <w:rPr>
        <w:rFonts w:ascii="Arial" w:hAnsi="Arial" w:cs="Arial"/>
        <w:sz w:val="21"/>
      </w:rPr>
    </w:sdtEndPr>
    <w:sdtContent>
      <w:p>
        <w:pPr>
          <w:pStyle w:val="25"/>
          <w:ind w:firstLine="0" w:firstLineChars="0"/>
          <w:rPr>
            <w:rFonts w:ascii="Arial" w:hAnsi="Arial" w:cs="Arial"/>
            <w:sz w:val="21"/>
          </w:rPr>
        </w:pPr>
        <w:r>
          <w:rPr>
            <w:rFonts w:ascii="Arial" w:hAnsi="Arial" w:cs="Arial"/>
            <w:sz w:val="21"/>
          </w:rPr>
          <w:t xml:space="preserve">                                          </w:t>
        </w: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18</w:t>
        </w:r>
        <w:r>
          <w:rPr>
            <w:rFonts w:ascii="Arial" w:hAnsi="Arial" w:cs="Arial"/>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2"/>
      <w:lvlText w:val="%1"/>
      <w:lvlJc w:val="left"/>
      <w:pPr>
        <w:tabs>
          <w:tab w:val="left" w:pos="1756"/>
        </w:tabs>
        <w:ind w:left="1756" w:hanging="425"/>
      </w:pPr>
    </w:lvl>
    <w:lvl w:ilvl="1" w:tentative="0">
      <w:start w:val="1"/>
      <w:numFmt w:val="decimal"/>
      <w:lvlText w:val="%1.%2"/>
      <w:lvlJc w:val="left"/>
      <w:pPr>
        <w:tabs>
          <w:tab w:val="left" w:pos="2323"/>
        </w:tabs>
        <w:ind w:left="2323" w:hanging="567"/>
      </w:pPr>
    </w:lvl>
    <w:lvl w:ilvl="2" w:tentative="0">
      <w:start w:val="1"/>
      <w:numFmt w:val="decimal"/>
      <w:lvlText w:val="%1.%2.%3"/>
      <w:lvlJc w:val="left"/>
      <w:pPr>
        <w:tabs>
          <w:tab w:val="left" w:pos="2902"/>
        </w:tabs>
        <w:ind w:left="2749" w:hanging="567"/>
      </w:pPr>
    </w:lvl>
    <w:lvl w:ilvl="3" w:tentative="0">
      <w:start w:val="1"/>
      <w:numFmt w:val="decimal"/>
      <w:lvlText w:val="%1.%2.%3.%4"/>
      <w:lvlJc w:val="left"/>
      <w:pPr>
        <w:tabs>
          <w:tab w:val="left" w:pos="3687"/>
        </w:tabs>
        <w:ind w:left="3315" w:hanging="708"/>
      </w:pPr>
    </w:lvl>
    <w:lvl w:ilvl="4" w:tentative="0">
      <w:start w:val="1"/>
      <w:numFmt w:val="decimal"/>
      <w:lvlText w:val="%1.%2.%3.%4.%5"/>
      <w:lvlJc w:val="left"/>
      <w:pPr>
        <w:tabs>
          <w:tab w:val="left" w:pos="4472"/>
        </w:tabs>
        <w:ind w:left="3882" w:hanging="850"/>
      </w:pPr>
    </w:lvl>
    <w:lvl w:ilvl="5" w:tentative="0">
      <w:start w:val="1"/>
      <w:numFmt w:val="decimal"/>
      <w:lvlText w:val="%1.%2.%3.%4.%5.%6"/>
      <w:lvlJc w:val="left"/>
      <w:pPr>
        <w:tabs>
          <w:tab w:val="left" w:pos="4897"/>
        </w:tabs>
        <w:ind w:left="4591" w:hanging="1134"/>
      </w:pPr>
    </w:lvl>
    <w:lvl w:ilvl="6" w:tentative="0">
      <w:start w:val="1"/>
      <w:numFmt w:val="decimal"/>
      <w:lvlText w:val="%1.%2.%3.%4.%5.%6.%7"/>
      <w:lvlJc w:val="left"/>
      <w:pPr>
        <w:tabs>
          <w:tab w:val="left" w:pos="5682"/>
        </w:tabs>
        <w:ind w:left="5158" w:hanging="1276"/>
      </w:pPr>
    </w:lvl>
    <w:lvl w:ilvl="7" w:tentative="0">
      <w:start w:val="1"/>
      <w:numFmt w:val="decimal"/>
      <w:lvlText w:val="%1.%2.%3.%4.%5.%6.%7.%8"/>
      <w:lvlJc w:val="left"/>
      <w:pPr>
        <w:tabs>
          <w:tab w:val="left" w:pos="6107"/>
        </w:tabs>
        <w:ind w:left="5725" w:hanging="1418"/>
      </w:pPr>
    </w:lvl>
    <w:lvl w:ilvl="8" w:tentative="0">
      <w:start w:val="1"/>
      <w:numFmt w:val="decimal"/>
      <w:lvlText w:val="%1.%2.%3.%4.%5.%6.%7.%8.%9"/>
      <w:lvlJc w:val="left"/>
      <w:pPr>
        <w:tabs>
          <w:tab w:val="left" w:pos="6893"/>
        </w:tabs>
        <w:ind w:left="6433" w:hanging="1700"/>
      </w:pPr>
    </w:lvl>
  </w:abstractNum>
  <w:abstractNum w:abstractNumId="1">
    <w:nsid w:val="458D7691"/>
    <w:multiLevelType w:val="multilevel"/>
    <w:tmpl w:val="458D7691"/>
    <w:lvl w:ilvl="0" w:tentative="0">
      <w:start w:val="2"/>
      <w:numFmt w:val="japaneseCounting"/>
      <w:lvlText w:val="%1、"/>
      <w:lvlJc w:val="left"/>
      <w:pPr>
        <w:ind w:left="720" w:hanging="720"/>
      </w:pPr>
      <w:rPr>
        <w:rFonts w:hint="default"/>
      </w:rPr>
    </w:lvl>
    <w:lvl w:ilvl="1" w:tentative="0">
      <w:start w:val="1"/>
      <w:numFmt w:val="japaneseCounting"/>
      <w:lvlText w:val="（%2）"/>
      <w:lvlJc w:val="left"/>
      <w:pPr>
        <w:ind w:left="1430" w:hanging="99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AD3694F"/>
    <w:multiLevelType w:val="multilevel"/>
    <w:tmpl w:val="6AD3694F"/>
    <w:lvl w:ilvl="0" w:tentative="0">
      <w:start w:val="4"/>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6F4454A7"/>
    <w:multiLevelType w:val="multilevel"/>
    <w:tmpl w:val="6F4454A7"/>
    <w:lvl w:ilvl="0" w:tentative="0">
      <w:start w:val="1"/>
      <w:numFmt w:val="decimal"/>
      <w:pStyle w:val="4"/>
      <w:lvlText w:val="%1"/>
      <w:lvlJc w:val="left"/>
      <w:pPr>
        <w:ind w:left="0" w:firstLine="0"/>
      </w:pPr>
      <w:rPr>
        <w:rFonts w:hint="default" w:eastAsia="宋体" w:asciiTheme="majorHAnsi" w:hAnsiTheme="majorHAnsi"/>
        <w:b/>
        <w:i w:val="0"/>
        <w:sz w:val="32"/>
      </w:rPr>
    </w:lvl>
    <w:lvl w:ilvl="1" w:tentative="0">
      <w:start w:val="1"/>
      <w:numFmt w:val="decimal"/>
      <w:pStyle w:val="5"/>
      <w:lvlText w:val="%1.%2"/>
      <w:lvlJc w:val="left"/>
      <w:pPr>
        <w:ind w:left="0" w:firstLine="0"/>
      </w:pPr>
      <w:rPr>
        <w:rFonts w:hint="default" w:eastAsia="宋体" w:asciiTheme="majorHAnsi" w:hAnsiTheme="majorHAnsi"/>
        <w:b/>
        <w:i w:val="0"/>
        <w:sz w:val="30"/>
      </w:rPr>
    </w:lvl>
    <w:lvl w:ilvl="2" w:tentative="0">
      <w:start w:val="1"/>
      <w:numFmt w:val="decimal"/>
      <w:pStyle w:val="6"/>
      <w:lvlText w:val="%1.%2.%3"/>
      <w:lvlJc w:val="left"/>
      <w:pPr>
        <w:ind w:left="0" w:firstLine="0"/>
      </w:pPr>
      <w:rPr>
        <w:rFonts w:hint="default" w:eastAsia="宋体" w:asciiTheme="majorHAnsi" w:hAnsiTheme="majorHAnsi"/>
        <w:b/>
        <w:i w:val="0"/>
        <w:sz w:val="28"/>
      </w:rPr>
    </w:lvl>
    <w:lvl w:ilvl="3" w:tentative="0">
      <w:start w:val="1"/>
      <w:numFmt w:val="decimal"/>
      <w:pStyle w:val="7"/>
      <w:lvlText w:val="%1.%2.%3.%4"/>
      <w:lvlJc w:val="left"/>
      <w:pPr>
        <w:ind w:left="0" w:firstLine="0"/>
      </w:pPr>
      <w:rPr>
        <w:rFonts w:hint="default" w:eastAsia="宋体" w:asciiTheme="majorHAnsi" w:hAnsiTheme="majorHAnsi"/>
        <w:b/>
        <w:i w:val="0"/>
        <w:sz w:val="28"/>
      </w:rPr>
    </w:lvl>
    <w:lvl w:ilvl="4" w:tentative="0">
      <w:start w:val="1"/>
      <w:numFmt w:val="decimal"/>
      <w:pStyle w:val="8"/>
      <w:lvlText w:val="%1.%2.%3.%4.%5"/>
      <w:lvlJc w:val="left"/>
      <w:pPr>
        <w:ind w:left="0" w:firstLine="0"/>
      </w:pPr>
      <w:rPr>
        <w:rFonts w:hint="default" w:eastAsia="宋体" w:asciiTheme="majorHAnsi" w:hAnsiTheme="majorHAnsi"/>
        <w:b/>
        <w:i w:val="0"/>
        <w:sz w:val="28"/>
      </w:rPr>
    </w:lvl>
    <w:lvl w:ilvl="5" w:tentative="0">
      <w:start w:val="1"/>
      <w:numFmt w:val="decimal"/>
      <w:pStyle w:val="9"/>
      <w:lvlText w:val="%1.%2.%3.%4.%5.%6"/>
      <w:lvlJc w:val="left"/>
      <w:pPr>
        <w:ind w:left="0" w:firstLine="0"/>
      </w:pPr>
      <w:rPr>
        <w:rFonts w:hint="default" w:eastAsia="宋体" w:asciiTheme="majorHAnsi" w:hAnsiTheme="majorHAnsi"/>
        <w:b/>
        <w:i w:val="0"/>
        <w:sz w:val="28"/>
      </w:rPr>
    </w:lvl>
    <w:lvl w:ilvl="6" w:tentative="0">
      <w:start w:val="1"/>
      <w:numFmt w:val="decimal"/>
      <w:pStyle w:val="10"/>
      <w:lvlText w:val="%1.%2.%3.%4.%5.%6.%7"/>
      <w:lvlJc w:val="left"/>
      <w:pPr>
        <w:ind w:left="0" w:firstLine="0"/>
      </w:pPr>
      <w:rPr>
        <w:rFonts w:hint="default" w:eastAsia="宋体" w:asciiTheme="majorHAnsi" w:hAnsiTheme="majorHAnsi"/>
        <w:b/>
        <w:i w:val="0"/>
        <w:sz w:val="28"/>
      </w:rPr>
    </w:lvl>
    <w:lvl w:ilvl="7" w:tentative="0">
      <w:start w:val="1"/>
      <w:numFmt w:val="decimal"/>
      <w:pStyle w:val="11"/>
      <w:lvlText w:val="%1.%2.%3.%4.%5.%6.%7.%8"/>
      <w:lvlJc w:val="left"/>
      <w:pPr>
        <w:ind w:left="0" w:firstLine="0"/>
      </w:pPr>
      <w:rPr>
        <w:rFonts w:hint="default" w:eastAsia="宋体" w:asciiTheme="majorHAnsi" w:hAnsiTheme="majorHAnsi"/>
        <w:b/>
        <w:i w:val="0"/>
        <w:sz w:val="28"/>
      </w:rPr>
    </w:lvl>
    <w:lvl w:ilvl="8" w:tentative="0">
      <w:start w:val="1"/>
      <w:numFmt w:val="decimal"/>
      <w:pStyle w:val="12"/>
      <w:lvlText w:val="%1.%2.%3.%4.%5.%6.%7.%8.%9"/>
      <w:lvlJc w:val="left"/>
      <w:pPr>
        <w:ind w:left="0" w:firstLine="0"/>
      </w:pPr>
      <w:rPr>
        <w:rFonts w:hint="default" w:eastAsia="宋体" w:asciiTheme="majorHAnsi" w:hAnsiTheme="majorHAnsi"/>
        <w:b/>
        <w:i w:val="0"/>
        <w:sz w:val="28"/>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DVhNTRjYWYwNGQxMjY2OTgyYzRmYjI0NTlmNTYifQ=="/>
  </w:docVars>
  <w:rsids>
    <w:rsidRoot w:val="00767A40"/>
    <w:rsid w:val="00001795"/>
    <w:rsid w:val="0000741E"/>
    <w:rsid w:val="0001078D"/>
    <w:rsid w:val="00010939"/>
    <w:rsid w:val="000110C5"/>
    <w:rsid w:val="000115A8"/>
    <w:rsid w:val="000118C9"/>
    <w:rsid w:val="0001204B"/>
    <w:rsid w:val="00014EFB"/>
    <w:rsid w:val="000267E6"/>
    <w:rsid w:val="0002790C"/>
    <w:rsid w:val="00030396"/>
    <w:rsid w:val="00030FFD"/>
    <w:rsid w:val="000436DB"/>
    <w:rsid w:val="00044E32"/>
    <w:rsid w:val="00053131"/>
    <w:rsid w:val="0006231E"/>
    <w:rsid w:val="00062A3C"/>
    <w:rsid w:val="00067BC3"/>
    <w:rsid w:val="000705E9"/>
    <w:rsid w:val="000731D0"/>
    <w:rsid w:val="00074161"/>
    <w:rsid w:val="0007630A"/>
    <w:rsid w:val="0007656C"/>
    <w:rsid w:val="00076FF8"/>
    <w:rsid w:val="000818F3"/>
    <w:rsid w:val="00085185"/>
    <w:rsid w:val="00085275"/>
    <w:rsid w:val="000858FC"/>
    <w:rsid w:val="0008697C"/>
    <w:rsid w:val="000869C6"/>
    <w:rsid w:val="0008748F"/>
    <w:rsid w:val="0009053D"/>
    <w:rsid w:val="000A276B"/>
    <w:rsid w:val="000A287C"/>
    <w:rsid w:val="000A2BD9"/>
    <w:rsid w:val="000A4330"/>
    <w:rsid w:val="000A67E5"/>
    <w:rsid w:val="000B0642"/>
    <w:rsid w:val="000B16E6"/>
    <w:rsid w:val="000B1BC6"/>
    <w:rsid w:val="000B3559"/>
    <w:rsid w:val="000B4E18"/>
    <w:rsid w:val="000C4A9E"/>
    <w:rsid w:val="000C5779"/>
    <w:rsid w:val="000C621F"/>
    <w:rsid w:val="000C63FF"/>
    <w:rsid w:val="000D0D0A"/>
    <w:rsid w:val="000D4308"/>
    <w:rsid w:val="000D4633"/>
    <w:rsid w:val="000D4713"/>
    <w:rsid w:val="000D5A6D"/>
    <w:rsid w:val="000D5CE8"/>
    <w:rsid w:val="000E08FD"/>
    <w:rsid w:val="000E16A3"/>
    <w:rsid w:val="000E2C2C"/>
    <w:rsid w:val="000E2FFD"/>
    <w:rsid w:val="000E50A2"/>
    <w:rsid w:val="000E5512"/>
    <w:rsid w:val="000E573E"/>
    <w:rsid w:val="000F01A3"/>
    <w:rsid w:val="000F12A4"/>
    <w:rsid w:val="000F33F7"/>
    <w:rsid w:val="000F4855"/>
    <w:rsid w:val="000F63DD"/>
    <w:rsid w:val="000F64BA"/>
    <w:rsid w:val="001072F5"/>
    <w:rsid w:val="0011371F"/>
    <w:rsid w:val="00117225"/>
    <w:rsid w:val="001179D4"/>
    <w:rsid w:val="00120C31"/>
    <w:rsid w:val="0012451D"/>
    <w:rsid w:val="0012497E"/>
    <w:rsid w:val="00126661"/>
    <w:rsid w:val="0014042D"/>
    <w:rsid w:val="00140D8D"/>
    <w:rsid w:val="0014566E"/>
    <w:rsid w:val="0015214D"/>
    <w:rsid w:val="0015427F"/>
    <w:rsid w:val="001545C6"/>
    <w:rsid w:val="001556CF"/>
    <w:rsid w:val="00155A01"/>
    <w:rsid w:val="00161AD5"/>
    <w:rsid w:val="0016237D"/>
    <w:rsid w:val="00162B9C"/>
    <w:rsid w:val="001704E6"/>
    <w:rsid w:val="00171DF4"/>
    <w:rsid w:val="00173418"/>
    <w:rsid w:val="001734FA"/>
    <w:rsid w:val="0017423D"/>
    <w:rsid w:val="0017470E"/>
    <w:rsid w:val="001826EF"/>
    <w:rsid w:val="0018342A"/>
    <w:rsid w:val="001836F9"/>
    <w:rsid w:val="00184F7D"/>
    <w:rsid w:val="00185D71"/>
    <w:rsid w:val="001904AE"/>
    <w:rsid w:val="0019495E"/>
    <w:rsid w:val="00194EB1"/>
    <w:rsid w:val="001954AE"/>
    <w:rsid w:val="001A1A3A"/>
    <w:rsid w:val="001A22AB"/>
    <w:rsid w:val="001A30AE"/>
    <w:rsid w:val="001A46B3"/>
    <w:rsid w:val="001A7D0A"/>
    <w:rsid w:val="001B35A2"/>
    <w:rsid w:val="001B3C5A"/>
    <w:rsid w:val="001B56DC"/>
    <w:rsid w:val="001B5B21"/>
    <w:rsid w:val="001C1F06"/>
    <w:rsid w:val="001C5AE4"/>
    <w:rsid w:val="001D0088"/>
    <w:rsid w:val="001D472A"/>
    <w:rsid w:val="001D5164"/>
    <w:rsid w:val="001D7BBD"/>
    <w:rsid w:val="001E069D"/>
    <w:rsid w:val="001E1123"/>
    <w:rsid w:val="001E216B"/>
    <w:rsid w:val="001E3705"/>
    <w:rsid w:val="001E3957"/>
    <w:rsid w:val="001F5B8D"/>
    <w:rsid w:val="002020F0"/>
    <w:rsid w:val="00204783"/>
    <w:rsid w:val="0020495D"/>
    <w:rsid w:val="00206D8D"/>
    <w:rsid w:val="00207E32"/>
    <w:rsid w:val="00210E99"/>
    <w:rsid w:val="00210FA3"/>
    <w:rsid w:val="002120B1"/>
    <w:rsid w:val="002128D0"/>
    <w:rsid w:val="002143B4"/>
    <w:rsid w:val="002217F4"/>
    <w:rsid w:val="00221C59"/>
    <w:rsid w:val="00223BE5"/>
    <w:rsid w:val="0022523F"/>
    <w:rsid w:val="002301F0"/>
    <w:rsid w:val="002315A6"/>
    <w:rsid w:val="00231E26"/>
    <w:rsid w:val="00232188"/>
    <w:rsid w:val="00232C32"/>
    <w:rsid w:val="00233D2F"/>
    <w:rsid w:val="00234167"/>
    <w:rsid w:val="00236814"/>
    <w:rsid w:val="00242C95"/>
    <w:rsid w:val="00244E2E"/>
    <w:rsid w:val="00245152"/>
    <w:rsid w:val="00245500"/>
    <w:rsid w:val="0024751C"/>
    <w:rsid w:val="00247B6E"/>
    <w:rsid w:val="00256506"/>
    <w:rsid w:val="00256610"/>
    <w:rsid w:val="00270E4C"/>
    <w:rsid w:val="00271423"/>
    <w:rsid w:val="00273FE6"/>
    <w:rsid w:val="00274826"/>
    <w:rsid w:val="0027697A"/>
    <w:rsid w:val="00277BFF"/>
    <w:rsid w:val="00277DB4"/>
    <w:rsid w:val="00280ECA"/>
    <w:rsid w:val="00282AB1"/>
    <w:rsid w:val="00282B26"/>
    <w:rsid w:val="00284E98"/>
    <w:rsid w:val="002853E9"/>
    <w:rsid w:val="00286F1F"/>
    <w:rsid w:val="00296EB0"/>
    <w:rsid w:val="0029721B"/>
    <w:rsid w:val="00297276"/>
    <w:rsid w:val="00297E86"/>
    <w:rsid w:val="002A10D7"/>
    <w:rsid w:val="002A53AB"/>
    <w:rsid w:val="002A5461"/>
    <w:rsid w:val="002B0CA7"/>
    <w:rsid w:val="002B6CC2"/>
    <w:rsid w:val="002B6F7E"/>
    <w:rsid w:val="002C1EB2"/>
    <w:rsid w:val="002C2494"/>
    <w:rsid w:val="002C6008"/>
    <w:rsid w:val="002C68C0"/>
    <w:rsid w:val="002C74C7"/>
    <w:rsid w:val="002D0BED"/>
    <w:rsid w:val="002D67B4"/>
    <w:rsid w:val="002D6A29"/>
    <w:rsid w:val="002E3B68"/>
    <w:rsid w:val="002E3C07"/>
    <w:rsid w:val="002E4BA2"/>
    <w:rsid w:val="002E528E"/>
    <w:rsid w:val="002E61B9"/>
    <w:rsid w:val="002E7B8A"/>
    <w:rsid w:val="002F360F"/>
    <w:rsid w:val="002F65D6"/>
    <w:rsid w:val="002F7F6D"/>
    <w:rsid w:val="00306985"/>
    <w:rsid w:val="0031041C"/>
    <w:rsid w:val="0031055D"/>
    <w:rsid w:val="003132A1"/>
    <w:rsid w:val="00315D2A"/>
    <w:rsid w:val="00320E68"/>
    <w:rsid w:val="00323CD7"/>
    <w:rsid w:val="00323F46"/>
    <w:rsid w:val="0032501E"/>
    <w:rsid w:val="00326ADE"/>
    <w:rsid w:val="00337A4B"/>
    <w:rsid w:val="00341FFE"/>
    <w:rsid w:val="00342C23"/>
    <w:rsid w:val="003438C0"/>
    <w:rsid w:val="003450C0"/>
    <w:rsid w:val="00346DA5"/>
    <w:rsid w:val="0035167D"/>
    <w:rsid w:val="003534B7"/>
    <w:rsid w:val="00357A04"/>
    <w:rsid w:val="003609C1"/>
    <w:rsid w:val="00363C36"/>
    <w:rsid w:val="00364AF0"/>
    <w:rsid w:val="00365B67"/>
    <w:rsid w:val="00365EEE"/>
    <w:rsid w:val="003710B3"/>
    <w:rsid w:val="003800A3"/>
    <w:rsid w:val="003827DC"/>
    <w:rsid w:val="00382FA9"/>
    <w:rsid w:val="00383C4E"/>
    <w:rsid w:val="00384A3F"/>
    <w:rsid w:val="003853B1"/>
    <w:rsid w:val="00387A11"/>
    <w:rsid w:val="00397953"/>
    <w:rsid w:val="00397EB5"/>
    <w:rsid w:val="003A1A75"/>
    <w:rsid w:val="003A3C22"/>
    <w:rsid w:val="003A58D1"/>
    <w:rsid w:val="003A5A48"/>
    <w:rsid w:val="003B0919"/>
    <w:rsid w:val="003B77B6"/>
    <w:rsid w:val="003C01C1"/>
    <w:rsid w:val="003C256C"/>
    <w:rsid w:val="003C275F"/>
    <w:rsid w:val="003C2B12"/>
    <w:rsid w:val="003C3572"/>
    <w:rsid w:val="003C5746"/>
    <w:rsid w:val="003D230B"/>
    <w:rsid w:val="003D399A"/>
    <w:rsid w:val="003D46A7"/>
    <w:rsid w:val="003D6D8B"/>
    <w:rsid w:val="003D7368"/>
    <w:rsid w:val="003E1EB2"/>
    <w:rsid w:val="003E546A"/>
    <w:rsid w:val="003E5773"/>
    <w:rsid w:val="003F1032"/>
    <w:rsid w:val="003F2733"/>
    <w:rsid w:val="003F2FCF"/>
    <w:rsid w:val="003F31E0"/>
    <w:rsid w:val="003F63EB"/>
    <w:rsid w:val="00403F4A"/>
    <w:rsid w:val="00412E31"/>
    <w:rsid w:val="004149F7"/>
    <w:rsid w:val="00414ADF"/>
    <w:rsid w:val="00415DEC"/>
    <w:rsid w:val="00417133"/>
    <w:rsid w:val="00420628"/>
    <w:rsid w:val="004209F0"/>
    <w:rsid w:val="00420E24"/>
    <w:rsid w:val="00425674"/>
    <w:rsid w:val="00426D70"/>
    <w:rsid w:val="00430F8D"/>
    <w:rsid w:val="004314CD"/>
    <w:rsid w:val="00433E6F"/>
    <w:rsid w:val="00435D9B"/>
    <w:rsid w:val="00437366"/>
    <w:rsid w:val="00437D92"/>
    <w:rsid w:val="00440862"/>
    <w:rsid w:val="004432B2"/>
    <w:rsid w:val="00446F27"/>
    <w:rsid w:val="00452581"/>
    <w:rsid w:val="004555BB"/>
    <w:rsid w:val="00456F31"/>
    <w:rsid w:val="00457E84"/>
    <w:rsid w:val="00460627"/>
    <w:rsid w:val="004607D4"/>
    <w:rsid w:val="00462CAF"/>
    <w:rsid w:val="004633E1"/>
    <w:rsid w:val="004702AF"/>
    <w:rsid w:val="004703ED"/>
    <w:rsid w:val="00471011"/>
    <w:rsid w:val="0047112F"/>
    <w:rsid w:val="0047134E"/>
    <w:rsid w:val="0047294D"/>
    <w:rsid w:val="0048270A"/>
    <w:rsid w:val="00482A92"/>
    <w:rsid w:val="00483712"/>
    <w:rsid w:val="00484248"/>
    <w:rsid w:val="004852CA"/>
    <w:rsid w:val="004874B8"/>
    <w:rsid w:val="004906EC"/>
    <w:rsid w:val="0049517E"/>
    <w:rsid w:val="004A4356"/>
    <w:rsid w:val="004A795C"/>
    <w:rsid w:val="004B1176"/>
    <w:rsid w:val="004B1C1E"/>
    <w:rsid w:val="004B1F31"/>
    <w:rsid w:val="004B5A05"/>
    <w:rsid w:val="004B6868"/>
    <w:rsid w:val="004C00BC"/>
    <w:rsid w:val="004C22A9"/>
    <w:rsid w:val="004C283A"/>
    <w:rsid w:val="004C3650"/>
    <w:rsid w:val="004C695D"/>
    <w:rsid w:val="004C6C85"/>
    <w:rsid w:val="004C6E3B"/>
    <w:rsid w:val="004D0738"/>
    <w:rsid w:val="004D18D4"/>
    <w:rsid w:val="004D2385"/>
    <w:rsid w:val="004D2DFD"/>
    <w:rsid w:val="004E02FF"/>
    <w:rsid w:val="004E099F"/>
    <w:rsid w:val="004E205D"/>
    <w:rsid w:val="004E78CA"/>
    <w:rsid w:val="004F321C"/>
    <w:rsid w:val="004F36F6"/>
    <w:rsid w:val="004F586A"/>
    <w:rsid w:val="004F5AE5"/>
    <w:rsid w:val="004F6CB6"/>
    <w:rsid w:val="005011BC"/>
    <w:rsid w:val="00501463"/>
    <w:rsid w:val="0050212E"/>
    <w:rsid w:val="005022D0"/>
    <w:rsid w:val="00502B8D"/>
    <w:rsid w:val="00513768"/>
    <w:rsid w:val="0051522F"/>
    <w:rsid w:val="00516FCB"/>
    <w:rsid w:val="00517F4C"/>
    <w:rsid w:val="00521C41"/>
    <w:rsid w:val="00522965"/>
    <w:rsid w:val="00532505"/>
    <w:rsid w:val="00545C11"/>
    <w:rsid w:val="005536CC"/>
    <w:rsid w:val="00560445"/>
    <w:rsid w:val="00561D73"/>
    <w:rsid w:val="00565D12"/>
    <w:rsid w:val="0056741A"/>
    <w:rsid w:val="00571141"/>
    <w:rsid w:val="00571C44"/>
    <w:rsid w:val="005741BF"/>
    <w:rsid w:val="00575DD4"/>
    <w:rsid w:val="00577224"/>
    <w:rsid w:val="005775B4"/>
    <w:rsid w:val="00590B15"/>
    <w:rsid w:val="005912D3"/>
    <w:rsid w:val="00593D97"/>
    <w:rsid w:val="0059445B"/>
    <w:rsid w:val="005A6F42"/>
    <w:rsid w:val="005B426A"/>
    <w:rsid w:val="005B50AF"/>
    <w:rsid w:val="005C055C"/>
    <w:rsid w:val="005C14C4"/>
    <w:rsid w:val="005C1701"/>
    <w:rsid w:val="005C42C4"/>
    <w:rsid w:val="005D177F"/>
    <w:rsid w:val="005D1ABD"/>
    <w:rsid w:val="005D2B22"/>
    <w:rsid w:val="005D4122"/>
    <w:rsid w:val="005D5034"/>
    <w:rsid w:val="005E1272"/>
    <w:rsid w:val="005E23D2"/>
    <w:rsid w:val="005E295A"/>
    <w:rsid w:val="005E3612"/>
    <w:rsid w:val="005E3814"/>
    <w:rsid w:val="005E465F"/>
    <w:rsid w:val="005F17DD"/>
    <w:rsid w:val="005F2CF9"/>
    <w:rsid w:val="005F377B"/>
    <w:rsid w:val="00600794"/>
    <w:rsid w:val="00601AD7"/>
    <w:rsid w:val="006035F1"/>
    <w:rsid w:val="00605158"/>
    <w:rsid w:val="006061FF"/>
    <w:rsid w:val="00613166"/>
    <w:rsid w:val="0062255F"/>
    <w:rsid w:val="0062287D"/>
    <w:rsid w:val="0062377C"/>
    <w:rsid w:val="00624A80"/>
    <w:rsid w:val="00625CDF"/>
    <w:rsid w:val="0062601A"/>
    <w:rsid w:val="00631881"/>
    <w:rsid w:val="00631F77"/>
    <w:rsid w:val="0063244B"/>
    <w:rsid w:val="00635651"/>
    <w:rsid w:val="00640292"/>
    <w:rsid w:val="006403D6"/>
    <w:rsid w:val="006420D4"/>
    <w:rsid w:val="00642CF0"/>
    <w:rsid w:val="00643C4B"/>
    <w:rsid w:val="0064450D"/>
    <w:rsid w:val="00646E38"/>
    <w:rsid w:val="00647277"/>
    <w:rsid w:val="006472D4"/>
    <w:rsid w:val="006504A8"/>
    <w:rsid w:val="00655153"/>
    <w:rsid w:val="00655C4C"/>
    <w:rsid w:val="00656A91"/>
    <w:rsid w:val="00660294"/>
    <w:rsid w:val="00664A4B"/>
    <w:rsid w:val="00664B90"/>
    <w:rsid w:val="006651CE"/>
    <w:rsid w:val="006706EF"/>
    <w:rsid w:val="00672D6D"/>
    <w:rsid w:val="00676215"/>
    <w:rsid w:val="006837F5"/>
    <w:rsid w:val="00683EBD"/>
    <w:rsid w:val="00684A98"/>
    <w:rsid w:val="00684D5D"/>
    <w:rsid w:val="00685305"/>
    <w:rsid w:val="00686FD3"/>
    <w:rsid w:val="00691F3C"/>
    <w:rsid w:val="00695838"/>
    <w:rsid w:val="00695BE7"/>
    <w:rsid w:val="006A0BB8"/>
    <w:rsid w:val="006A542A"/>
    <w:rsid w:val="006A73D7"/>
    <w:rsid w:val="006A74C5"/>
    <w:rsid w:val="006B1248"/>
    <w:rsid w:val="006B2772"/>
    <w:rsid w:val="006B29E4"/>
    <w:rsid w:val="006B6B4F"/>
    <w:rsid w:val="006C2CDA"/>
    <w:rsid w:val="006C5D2C"/>
    <w:rsid w:val="006C6D0E"/>
    <w:rsid w:val="006D0207"/>
    <w:rsid w:val="006D2BF3"/>
    <w:rsid w:val="006D3A9B"/>
    <w:rsid w:val="006D3B53"/>
    <w:rsid w:val="006E1728"/>
    <w:rsid w:val="006E36F1"/>
    <w:rsid w:val="006E54F3"/>
    <w:rsid w:val="006E5F8F"/>
    <w:rsid w:val="006E6469"/>
    <w:rsid w:val="006E6A0D"/>
    <w:rsid w:val="006E7F07"/>
    <w:rsid w:val="006F0B39"/>
    <w:rsid w:val="006F2092"/>
    <w:rsid w:val="006F72C4"/>
    <w:rsid w:val="0070272D"/>
    <w:rsid w:val="00705916"/>
    <w:rsid w:val="00705B48"/>
    <w:rsid w:val="00707453"/>
    <w:rsid w:val="007078B8"/>
    <w:rsid w:val="0071005F"/>
    <w:rsid w:val="00710AEF"/>
    <w:rsid w:val="00711364"/>
    <w:rsid w:val="00714367"/>
    <w:rsid w:val="00716F6E"/>
    <w:rsid w:val="00720A0B"/>
    <w:rsid w:val="007262A9"/>
    <w:rsid w:val="0072713F"/>
    <w:rsid w:val="007455CB"/>
    <w:rsid w:val="0074642A"/>
    <w:rsid w:val="00750048"/>
    <w:rsid w:val="00752BCF"/>
    <w:rsid w:val="0075574B"/>
    <w:rsid w:val="007559C8"/>
    <w:rsid w:val="0075701D"/>
    <w:rsid w:val="00760C46"/>
    <w:rsid w:val="007618DE"/>
    <w:rsid w:val="007624F7"/>
    <w:rsid w:val="007628FB"/>
    <w:rsid w:val="0076462C"/>
    <w:rsid w:val="00765605"/>
    <w:rsid w:val="00767A40"/>
    <w:rsid w:val="00770B0F"/>
    <w:rsid w:val="0077446F"/>
    <w:rsid w:val="0077709C"/>
    <w:rsid w:val="00777BCE"/>
    <w:rsid w:val="00782009"/>
    <w:rsid w:val="00784EFA"/>
    <w:rsid w:val="00787A5B"/>
    <w:rsid w:val="00787CE6"/>
    <w:rsid w:val="00787EEB"/>
    <w:rsid w:val="007928F2"/>
    <w:rsid w:val="007930AB"/>
    <w:rsid w:val="007A0E4C"/>
    <w:rsid w:val="007A1C79"/>
    <w:rsid w:val="007A64D0"/>
    <w:rsid w:val="007A6BAA"/>
    <w:rsid w:val="007B3B96"/>
    <w:rsid w:val="007B5A63"/>
    <w:rsid w:val="007B681E"/>
    <w:rsid w:val="007C21DB"/>
    <w:rsid w:val="007C2753"/>
    <w:rsid w:val="007D2595"/>
    <w:rsid w:val="007D4D09"/>
    <w:rsid w:val="007D5EEB"/>
    <w:rsid w:val="007D6E4B"/>
    <w:rsid w:val="007D759B"/>
    <w:rsid w:val="007D786D"/>
    <w:rsid w:val="007E1E4E"/>
    <w:rsid w:val="007E2965"/>
    <w:rsid w:val="007E31ED"/>
    <w:rsid w:val="007E53C6"/>
    <w:rsid w:val="007F57B1"/>
    <w:rsid w:val="007F6ADC"/>
    <w:rsid w:val="007F6DB2"/>
    <w:rsid w:val="007F76ED"/>
    <w:rsid w:val="007F77B5"/>
    <w:rsid w:val="007F7F62"/>
    <w:rsid w:val="008005BE"/>
    <w:rsid w:val="00810BB2"/>
    <w:rsid w:val="00812FC8"/>
    <w:rsid w:val="008150BB"/>
    <w:rsid w:val="00815392"/>
    <w:rsid w:val="0081715A"/>
    <w:rsid w:val="00821B9F"/>
    <w:rsid w:val="00823346"/>
    <w:rsid w:val="00823906"/>
    <w:rsid w:val="0083197F"/>
    <w:rsid w:val="00831AB2"/>
    <w:rsid w:val="00833FD2"/>
    <w:rsid w:val="008402AA"/>
    <w:rsid w:val="00842941"/>
    <w:rsid w:val="00843E36"/>
    <w:rsid w:val="00845A6E"/>
    <w:rsid w:val="00846FA7"/>
    <w:rsid w:val="00847FEB"/>
    <w:rsid w:val="00851B7A"/>
    <w:rsid w:val="00856C82"/>
    <w:rsid w:val="00857C75"/>
    <w:rsid w:val="00861B54"/>
    <w:rsid w:val="008638DF"/>
    <w:rsid w:val="008662B6"/>
    <w:rsid w:val="00867261"/>
    <w:rsid w:val="00871207"/>
    <w:rsid w:val="0087145C"/>
    <w:rsid w:val="0087161E"/>
    <w:rsid w:val="00872194"/>
    <w:rsid w:val="0087338C"/>
    <w:rsid w:val="00873875"/>
    <w:rsid w:val="00874028"/>
    <w:rsid w:val="00875B55"/>
    <w:rsid w:val="00875C1D"/>
    <w:rsid w:val="00875C5A"/>
    <w:rsid w:val="00876110"/>
    <w:rsid w:val="0087685A"/>
    <w:rsid w:val="00876ED9"/>
    <w:rsid w:val="00880F79"/>
    <w:rsid w:val="00884395"/>
    <w:rsid w:val="00887D5E"/>
    <w:rsid w:val="0089245F"/>
    <w:rsid w:val="00892BC2"/>
    <w:rsid w:val="008957D0"/>
    <w:rsid w:val="008A0C5B"/>
    <w:rsid w:val="008B6321"/>
    <w:rsid w:val="008B76A7"/>
    <w:rsid w:val="008C3368"/>
    <w:rsid w:val="008C51A1"/>
    <w:rsid w:val="008C61CA"/>
    <w:rsid w:val="008C7EC0"/>
    <w:rsid w:val="008D1822"/>
    <w:rsid w:val="008D4F9C"/>
    <w:rsid w:val="008D6B94"/>
    <w:rsid w:val="008D7058"/>
    <w:rsid w:val="008E2A2F"/>
    <w:rsid w:val="008E4283"/>
    <w:rsid w:val="008E51FC"/>
    <w:rsid w:val="008E7831"/>
    <w:rsid w:val="008E7A07"/>
    <w:rsid w:val="008F01D3"/>
    <w:rsid w:val="008F4683"/>
    <w:rsid w:val="008F7C1D"/>
    <w:rsid w:val="009009B8"/>
    <w:rsid w:val="00905059"/>
    <w:rsid w:val="009065A9"/>
    <w:rsid w:val="00906668"/>
    <w:rsid w:val="00906DD9"/>
    <w:rsid w:val="0090792A"/>
    <w:rsid w:val="00910EEA"/>
    <w:rsid w:val="00911D0A"/>
    <w:rsid w:val="00913163"/>
    <w:rsid w:val="00914A3D"/>
    <w:rsid w:val="009171AD"/>
    <w:rsid w:val="00923283"/>
    <w:rsid w:val="009244D1"/>
    <w:rsid w:val="0093027E"/>
    <w:rsid w:val="00931FF7"/>
    <w:rsid w:val="00932468"/>
    <w:rsid w:val="00933AF3"/>
    <w:rsid w:val="00940E5A"/>
    <w:rsid w:val="0094352B"/>
    <w:rsid w:val="00944652"/>
    <w:rsid w:val="009549A3"/>
    <w:rsid w:val="00954F62"/>
    <w:rsid w:val="00956648"/>
    <w:rsid w:val="00957766"/>
    <w:rsid w:val="00957D21"/>
    <w:rsid w:val="00957F4B"/>
    <w:rsid w:val="00962725"/>
    <w:rsid w:val="0096753D"/>
    <w:rsid w:val="00970AEF"/>
    <w:rsid w:val="00972A13"/>
    <w:rsid w:val="009775C6"/>
    <w:rsid w:val="0098288A"/>
    <w:rsid w:val="00984544"/>
    <w:rsid w:val="009877D2"/>
    <w:rsid w:val="00992248"/>
    <w:rsid w:val="00993694"/>
    <w:rsid w:val="00993D56"/>
    <w:rsid w:val="00994B16"/>
    <w:rsid w:val="00995FD4"/>
    <w:rsid w:val="00996527"/>
    <w:rsid w:val="009A0953"/>
    <w:rsid w:val="009A13EC"/>
    <w:rsid w:val="009A5CAF"/>
    <w:rsid w:val="009A6EFF"/>
    <w:rsid w:val="009B5E35"/>
    <w:rsid w:val="009C34F1"/>
    <w:rsid w:val="009D0B27"/>
    <w:rsid w:val="009D693E"/>
    <w:rsid w:val="009E5D17"/>
    <w:rsid w:val="009E7EAB"/>
    <w:rsid w:val="009F09F6"/>
    <w:rsid w:val="009F19E3"/>
    <w:rsid w:val="009F27ED"/>
    <w:rsid w:val="009F62BB"/>
    <w:rsid w:val="009F7C0D"/>
    <w:rsid w:val="00A020E7"/>
    <w:rsid w:val="00A02BB1"/>
    <w:rsid w:val="00A0331F"/>
    <w:rsid w:val="00A05CD3"/>
    <w:rsid w:val="00A060F0"/>
    <w:rsid w:val="00A0780E"/>
    <w:rsid w:val="00A10A45"/>
    <w:rsid w:val="00A1116E"/>
    <w:rsid w:val="00A13332"/>
    <w:rsid w:val="00A1498A"/>
    <w:rsid w:val="00A14FCC"/>
    <w:rsid w:val="00A15376"/>
    <w:rsid w:val="00A20058"/>
    <w:rsid w:val="00A208D3"/>
    <w:rsid w:val="00A22031"/>
    <w:rsid w:val="00A25561"/>
    <w:rsid w:val="00A25B5B"/>
    <w:rsid w:val="00A260CE"/>
    <w:rsid w:val="00A262E0"/>
    <w:rsid w:val="00A27788"/>
    <w:rsid w:val="00A27CF3"/>
    <w:rsid w:val="00A27F49"/>
    <w:rsid w:val="00A32E03"/>
    <w:rsid w:val="00A3623B"/>
    <w:rsid w:val="00A42A9E"/>
    <w:rsid w:val="00A43815"/>
    <w:rsid w:val="00A45C29"/>
    <w:rsid w:val="00A5264A"/>
    <w:rsid w:val="00A5427A"/>
    <w:rsid w:val="00A56F96"/>
    <w:rsid w:val="00A57FFA"/>
    <w:rsid w:val="00A600BD"/>
    <w:rsid w:val="00A610BC"/>
    <w:rsid w:val="00A621D3"/>
    <w:rsid w:val="00A633C1"/>
    <w:rsid w:val="00A73A7C"/>
    <w:rsid w:val="00A76C67"/>
    <w:rsid w:val="00A805B8"/>
    <w:rsid w:val="00A81DE1"/>
    <w:rsid w:val="00A82EE8"/>
    <w:rsid w:val="00A84FD1"/>
    <w:rsid w:val="00A85346"/>
    <w:rsid w:val="00A87542"/>
    <w:rsid w:val="00A90CC8"/>
    <w:rsid w:val="00A91287"/>
    <w:rsid w:val="00A919D1"/>
    <w:rsid w:val="00A94B41"/>
    <w:rsid w:val="00A95C21"/>
    <w:rsid w:val="00A975F2"/>
    <w:rsid w:val="00A97636"/>
    <w:rsid w:val="00AA38A5"/>
    <w:rsid w:val="00AA44E6"/>
    <w:rsid w:val="00AA79C6"/>
    <w:rsid w:val="00AB0CFD"/>
    <w:rsid w:val="00AB659D"/>
    <w:rsid w:val="00AB6653"/>
    <w:rsid w:val="00AB6B78"/>
    <w:rsid w:val="00AC3BE1"/>
    <w:rsid w:val="00AC43EB"/>
    <w:rsid w:val="00AC54A9"/>
    <w:rsid w:val="00AC663E"/>
    <w:rsid w:val="00AC693E"/>
    <w:rsid w:val="00AC7CB7"/>
    <w:rsid w:val="00AD4F05"/>
    <w:rsid w:val="00AD6083"/>
    <w:rsid w:val="00AD6771"/>
    <w:rsid w:val="00AE394C"/>
    <w:rsid w:val="00AE45F7"/>
    <w:rsid w:val="00AE5420"/>
    <w:rsid w:val="00AE7AFE"/>
    <w:rsid w:val="00B0010B"/>
    <w:rsid w:val="00B02946"/>
    <w:rsid w:val="00B03608"/>
    <w:rsid w:val="00B03D3E"/>
    <w:rsid w:val="00B04600"/>
    <w:rsid w:val="00B12F44"/>
    <w:rsid w:val="00B12F79"/>
    <w:rsid w:val="00B13FDC"/>
    <w:rsid w:val="00B155EF"/>
    <w:rsid w:val="00B15BF8"/>
    <w:rsid w:val="00B177F1"/>
    <w:rsid w:val="00B2040E"/>
    <w:rsid w:val="00B20A8D"/>
    <w:rsid w:val="00B22B4F"/>
    <w:rsid w:val="00B25E56"/>
    <w:rsid w:val="00B27748"/>
    <w:rsid w:val="00B344A0"/>
    <w:rsid w:val="00B34A99"/>
    <w:rsid w:val="00B3554F"/>
    <w:rsid w:val="00B40A57"/>
    <w:rsid w:val="00B41E6C"/>
    <w:rsid w:val="00B42BC0"/>
    <w:rsid w:val="00B43A97"/>
    <w:rsid w:val="00B45784"/>
    <w:rsid w:val="00B47515"/>
    <w:rsid w:val="00B47F89"/>
    <w:rsid w:val="00B52549"/>
    <w:rsid w:val="00B529CB"/>
    <w:rsid w:val="00B53269"/>
    <w:rsid w:val="00B55E29"/>
    <w:rsid w:val="00B57875"/>
    <w:rsid w:val="00B61C36"/>
    <w:rsid w:val="00B62A30"/>
    <w:rsid w:val="00B67DB7"/>
    <w:rsid w:val="00B71B17"/>
    <w:rsid w:val="00B72717"/>
    <w:rsid w:val="00B72864"/>
    <w:rsid w:val="00B733E1"/>
    <w:rsid w:val="00B740AE"/>
    <w:rsid w:val="00B74F6D"/>
    <w:rsid w:val="00B75201"/>
    <w:rsid w:val="00B7557E"/>
    <w:rsid w:val="00B76756"/>
    <w:rsid w:val="00B8033E"/>
    <w:rsid w:val="00B80F7A"/>
    <w:rsid w:val="00B81F91"/>
    <w:rsid w:val="00B82BB0"/>
    <w:rsid w:val="00B83D54"/>
    <w:rsid w:val="00B8491D"/>
    <w:rsid w:val="00B919A1"/>
    <w:rsid w:val="00B9205C"/>
    <w:rsid w:val="00B92380"/>
    <w:rsid w:val="00B93AE8"/>
    <w:rsid w:val="00B95E30"/>
    <w:rsid w:val="00BA2DCF"/>
    <w:rsid w:val="00BA3A7A"/>
    <w:rsid w:val="00BA46FF"/>
    <w:rsid w:val="00BB2162"/>
    <w:rsid w:val="00BB4BF0"/>
    <w:rsid w:val="00BB5B00"/>
    <w:rsid w:val="00BB61E9"/>
    <w:rsid w:val="00BB638F"/>
    <w:rsid w:val="00BB77CE"/>
    <w:rsid w:val="00BC0C76"/>
    <w:rsid w:val="00BC1E56"/>
    <w:rsid w:val="00BC5609"/>
    <w:rsid w:val="00BC6AC7"/>
    <w:rsid w:val="00BC7506"/>
    <w:rsid w:val="00BC7F55"/>
    <w:rsid w:val="00BD064F"/>
    <w:rsid w:val="00BD21A7"/>
    <w:rsid w:val="00BD2868"/>
    <w:rsid w:val="00BD3998"/>
    <w:rsid w:val="00BD4A57"/>
    <w:rsid w:val="00BD6C10"/>
    <w:rsid w:val="00BE0CDB"/>
    <w:rsid w:val="00BE2944"/>
    <w:rsid w:val="00BE2B7D"/>
    <w:rsid w:val="00BE388A"/>
    <w:rsid w:val="00BE53F9"/>
    <w:rsid w:val="00BE5602"/>
    <w:rsid w:val="00BF220D"/>
    <w:rsid w:val="00BF24C0"/>
    <w:rsid w:val="00BF4691"/>
    <w:rsid w:val="00BF6187"/>
    <w:rsid w:val="00BF78D7"/>
    <w:rsid w:val="00BF7D2A"/>
    <w:rsid w:val="00C00CFB"/>
    <w:rsid w:val="00C0165D"/>
    <w:rsid w:val="00C02CBB"/>
    <w:rsid w:val="00C04BD6"/>
    <w:rsid w:val="00C06C37"/>
    <w:rsid w:val="00C10712"/>
    <w:rsid w:val="00C12B4B"/>
    <w:rsid w:val="00C12CEE"/>
    <w:rsid w:val="00C13D9E"/>
    <w:rsid w:val="00C1640A"/>
    <w:rsid w:val="00C203F4"/>
    <w:rsid w:val="00C2340E"/>
    <w:rsid w:val="00C24904"/>
    <w:rsid w:val="00C43A43"/>
    <w:rsid w:val="00C44CAF"/>
    <w:rsid w:val="00C4632A"/>
    <w:rsid w:val="00C46ED8"/>
    <w:rsid w:val="00C46EFF"/>
    <w:rsid w:val="00C50212"/>
    <w:rsid w:val="00C5160F"/>
    <w:rsid w:val="00C55F8D"/>
    <w:rsid w:val="00C57E44"/>
    <w:rsid w:val="00C602ED"/>
    <w:rsid w:val="00C610A3"/>
    <w:rsid w:val="00C61738"/>
    <w:rsid w:val="00C64055"/>
    <w:rsid w:val="00C64BFD"/>
    <w:rsid w:val="00C650BA"/>
    <w:rsid w:val="00C657D5"/>
    <w:rsid w:val="00C67551"/>
    <w:rsid w:val="00C718FE"/>
    <w:rsid w:val="00C7338E"/>
    <w:rsid w:val="00C74168"/>
    <w:rsid w:val="00C82235"/>
    <w:rsid w:val="00C82E0D"/>
    <w:rsid w:val="00C83F64"/>
    <w:rsid w:val="00C94D8A"/>
    <w:rsid w:val="00C95DF8"/>
    <w:rsid w:val="00CA129E"/>
    <w:rsid w:val="00CA2C24"/>
    <w:rsid w:val="00CA5A26"/>
    <w:rsid w:val="00CB4383"/>
    <w:rsid w:val="00CB4627"/>
    <w:rsid w:val="00CB622D"/>
    <w:rsid w:val="00CC0802"/>
    <w:rsid w:val="00CC4E4A"/>
    <w:rsid w:val="00CC5D10"/>
    <w:rsid w:val="00CC6CFB"/>
    <w:rsid w:val="00CC731E"/>
    <w:rsid w:val="00CD1362"/>
    <w:rsid w:val="00CD20D9"/>
    <w:rsid w:val="00CD2497"/>
    <w:rsid w:val="00CD5E57"/>
    <w:rsid w:val="00CD7072"/>
    <w:rsid w:val="00CD7FF4"/>
    <w:rsid w:val="00CE035C"/>
    <w:rsid w:val="00CE227F"/>
    <w:rsid w:val="00CE52C6"/>
    <w:rsid w:val="00CE5722"/>
    <w:rsid w:val="00CF0A5F"/>
    <w:rsid w:val="00CF1692"/>
    <w:rsid w:val="00D04401"/>
    <w:rsid w:val="00D05D96"/>
    <w:rsid w:val="00D10372"/>
    <w:rsid w:val="00D10492"/>
    <w:rsid w:val="00D11B89"/>
    <w:rsid w:val="00D11EE3"/>
    <w:rsid w:val="00D12C28"/>
    <w:rsid w:val="00D1424A"/>
    <w:rsid w:val="00D16C23"/>
    <w:rsid w:val="00D214EE"/>
    <w:rsid w:val="00D25574"/>
    <w:rsid w:val="00D32AD4"/>
    <w:rsid w:val="00D35C59"/>
    <w:rsid w:val="00D37555"/>
    <w:rsid w:val="00D449E9"/>
    <w:rsid w:val="00D451CC"/>
    <w:rsid w:val="00D45479"/>
    <w:rsid w:val="00D4567D"/>
    <w:rsid w:val="00D46C6B"/>
    <w:rsid w:val="00D511C3"/>
    <w:rsid w:val="00D56D5A"/>
    <w:rsid w:val="00D64500"/>
    <w:rsid w:val="00D653DF"/>
    <w:rsid w:val="00D658B7"/>
    <w:rsid w:val="00D66920"/>
    <w:rsid w:val="00D66A4F"/>
    <w:rsid w:val="00D67996"/>
    <w:rsid w:val="00D67DBE"/>
    <w:rsid w:val="00D757E0"/>
    <w:rsid w:val="00D76DBF"/>
    <w:rsid w:val="00D77018"/>
    <w:rsid w:val="00D774A3"/>
    <w:rsid w:val="00D802EF"/>
    <w:rsid w:val="00D85BD1"/>
    <w:rsid w:val="00D87685"/>
    <w:rsid w:val="00D87DDC"/>
    <w:rsid w:val="00D95043"/>
    <w:rsid w:val="00D96398"/>
    <w:rsid w:val="00D9677D"/>
    <w:rsid w:val="00DA16ED"/>
    <w:rsid w:val="00DA1934"/>
    <w:rsid w:val="00DA302A"/>
    <w:rsid w:val="00DB004E"/>
    <w:rsid w:val="00DB1AA1"/>
    <w:rsid w:val="00DB4F69"/>
    <w:rsid w:val="00DB4FB8"/>
    <w:rsid w:val="00DC000F"/>
    <w:rsid w:val="00DC10C2"/>
    <w:rsid w:val="00DC15D0"/>
    <w:rsid w:val="00DC1B1E"/>
    <w:rsid w:val="00DC3D73"/>
    <w:rsid w:val="00DC4C44"/>
    <w:rsid w:val="00DC57DE"/>
    <w:rsid w:val="00DC7740"/>
    <w:rsid w:val="00DD3BCB"/>
    <w:rsid w:val="00DD51D5"/>
    <w:rsid w:val="00DD5DC7"/>
    <w:rsid w:val="00DD5E09"/>
    <w:rsid w:val="00DD6E33"/>
    <w:rsid w:val="00DE1843"/>
    <w:rsid w:val="00DE3698"/>
    <w:rsid w:val="00DE3790"/>
    <w:rsid w:val="00DE408C"/>
    <w:rsid w:val="00DE796D"/>
    <w:rsid w:val="00DE799A"/>
    <w:rsid w:val="00DE7ACB"/>
    <w:rsid w:val="00DF321F"/>
    <w:rsid w:val="00DF32A6"/>
    <w:rsid w:val="00DF46B6"/>
    <w:rsid w:val="00E001CA"/>
    <w:rsid w:val="00E00864"/>
    <w:rsid w:val="00E027AD"/>
    <w:rsid w:val="00E10F4A"/>
    <w:rsid w:val="00E1190D"/>
    <w:rsid w:val="00E12268"/>
    <w:rsid w:val="00E151D4"/>
    <w:rsid w:val="00E15AAD"/>
    <w:rsid w:val="00E16A92"/>
    <w:rsid w:val="00E22ADF"/>
    <w:rsid w:val="00E2432D"/>
    <w:rsid w:val="00E2618A"/>
    <w:rsid w:val="00E26872"/>
    <w:rsid w:val="00E31984"/>
    <w:rsid w:val="00E31AE1"/>
    <w:rsid w:val="00E33358"/>
    <w:rsid w:val="00E3461D"/>
    <w:rsid w:val="00E40F82"/>
    <w:rsid w:val="00E43AAB"/>
    <w:rsid w:val="00E44694"/>
    <w:rsid w:val="00E47E0E"/>
    <w:rsid w:val="00E52126"/>
    <w:rsid w:val="00E55ACA"/>
    <w:rsid w:val="00E6047A"/>
    <w:rsid w:val="00E63C60"/>
    <w:rsid w:val="00E65D0D"/>
    <w:rsid w:val="00E6776F"/>
    <w:rsid w:val="00E7433A"/>
    <w:rsid w:val="00E74521"/>
    <w:rsid w:val="00E75544"/>
    <w:rsid w:val="00E75DC9"/>
    <w:rsid w:val="00E77133"/>
    <w:rsid w:val="00E83898"/>
    <w:rsid w:val="00E876CF"/>
    <w:rsid w:val="00E92151"/>
    <w:rsid w:val="00E9279F"/>
    <w:rsid w:val="00E93F94"/>
    <w:rsid w:val="00E950F8"/>
    <w:rsid w:val="00E968C2"/>
    <w:rsid w:val="00EA0163"/>
    <w:rsid w:val="00EA3662"/>
    <w:rsid w:val="00EA4377"/>
    <w:rsid w:val="00EA4A43"/>
    <w:rsid w:val="00EA60CD"/>
    <w:rsid w:val="00EA7C5D"/>
    <w:rsid w:val="00EA7D39"/>
    <w:rsid w:val="00EB1BD2"/>
    <w:rsid w:val="00EB487C"/>
    <w:rsid w:val="00EB51B3"/>
    <w:rsid w:val="00EB5803"/>
    <w:rsid w:val="00EB5B07"/>
    <w:rsid w:val="00EB6E36"/>
    <w:rsid w:val="00EB7C83"/>
    <w:rsid w:val="00EC11A4"/>
    <w:rsid w:val="00EC7515"/>
    <w:rsid w:val="00ED1590"/>
    <w:rsid w:val="00ED73F5"/>
    <w:rsid w:val="00EE08EB"/>
    <w:rsid w:val="00EE0EFA"/>
    <w:rsid w:val="00EE4349"/>
    <w:rsid w:val="00EE4433"/>
    <w:rsid w:val="00EE4DF3"/>
    <w:rsid w:val="00EE7709"/>
    <w:rsid w:val="00EF02D8"/>
    <w:rsid w:val="00F006D9"/>
    <w:rsid w:val="00F013BE"/>
    <w:rsid w:val="00F03333"/>
    <w:rsid w:val="00F03EDD"/>
    <w:rsid w:val="00F04ECB"/>
    <w:rsid w:val="00F05333"/>
    <w:rsid w:val="00F068AF"/>
    <w:rsid w:val="00F06C91"/>
    <w:rsid w:val="00F12508"/>
    <w:rsid w:val="00F1266A"/>
    <w:rsid w:val="00F1692A"/>
    <w:rsid w:val="00F173E6"/>
    <w:rsid w:val="00F2327A"/>
    <w:rsid w:val="00F2523F"/>
    <w:rsid w:val="00F2530A"/>
    <w:rsid w:val="00F310E7"/>
    <w:rsid w:val="00F344D8"/>
    <w:rsid w:val="00F35F33"/>
    <w:rsid w:val="00F40E2C"/>
    <w:rsid w:val="00F46B93"/>
    <w:rsid w:val="00F514F8"/>
    <w:rsid w:val="00F51A8D"/>
    <w:rsid w:val="00F53FE9"/>
    <w:rsid w:val="00F544B8"/>
    <w:rsid w:val="00F55269"/>
    <w:rsid w:val="00F56BB0"/>
    <w:rsid w:val="00F6796D"/>
    <w:rsid w:val="00F67F87"/>
    <w:rsid w:val="00F71B8B"/>
    <w:rsid w:val="00F7226F"/>
    <w:rsid w:val="00F76A4D"/>
    <w:rsid w:val="00F76BFE"/>
    <w:rsid w:val="00F82B7E"/>
    <w:rsid w:val="00F84C6A"/>
    <w:rsid w:val="00F85176"/>
    <w:rsid w:val="00F915F6"/>
    <w:rsid w:val="00F92DC8"/>
    <w:rsid w:val="00F94B21"/>
    <w:rsid w:val="00FA12AD"/>
    <w:rsid w:val="00FA4DC4"/>
    <w:rsid w:val="00FA647A"/>
    <w:rsid w:val="00FB122A"/>
    <w:rsid w:val="00FB3B7C"/>
    <w:rsid w:val="00FC29CE"/>
    <w:rsid w:val="00FC46DC"/>
    <w:rsid w:val="00FC6D18"/>
    <w:rsid w:val="00FD1B63"/>
    <w:rsid w:val="00FD6300"/>
    <w:rsid w:val="00FD643E"/>
    <w:rsid w:val="00FE0DEE"/>
    <w:rsid w:val="00FE270A"/>
    <w:rsid w:val="00FE3398"/>
    <w:rsid w:val="00FE3716"/>
    <w:rsid w:val="00FE6181"/>
    <w:rsid w:val="00FE668E"/>
    <w:rsid w:val="00FF0240"/>
    <w:rsid w:val="00FF5AC1"/>
    <w:rsid w:val="00FF72D8"/>
    <w:rsid w:val="05BF76B4"/>
    <w:rsid w:val="09414035"/>
    <w:rsid w:val="0A8855DE"/>
    <w:rsid w:val="0C35167C"/>
    <w:rsid w:val="0D9B61D0"/>
    <w:rsid w:val="0E56296F"/>
    <w:rsid w:val="0F522328"/>
    <w:rsid w:val="11ED7C6A"/>
    <w:rsid w:val="1690571F"/>
    <w:rsid w:val="18F52477"/>
    <w:rsid w:val="19A52E4A"/>
    <w:rsid w:val="1A5A235F"/>
    <w:rsid w:val="203218A7"/>
    <w:rsid w:val="267F560D"/>
    <w:rsid w:val="29AE115D"/>
    <w:rsid w:val="29D8099A"/>
    <w:rsid w:val="2B175F24"/>
    <w:rsid w:val="30BE1709"/>
    <w:rsid w:val="32981347"/>
    <w:rsid w:val="32C60033"/>
    <w:rsid w:val="33804656"/>
    <w:rsid w:val="44AE2DDA"/>
    <w:rsid w:val="44D546B6"/>
    <w:rsid w:val="45641DBC"/>
    <w:rsid w:val="48B45383"/>
    <w:rsid w:val="4B407F2F"/>
    <w:rsid w:val="506765FE"/>
    <w:rsid w:val="52034CC8"/>
    <w:rsid w:val="54105C09"/>
    <w:rsid w:val="57E02CC4"/>
    <w:rsid w:val="58C36532"/>
    <w:rsid w:val="5DA34DBF"/>
    <w:rsid w:val="61626274"/>
    <w:rsid w:val="63B179AE"/>
    <w:rsid w:val="69B144C0"/>
    <w:rsid w:val="6A36733C"/>
    <w:rsid w:val="6C1A7398"/>
    <w:rsid w:val="6E30776B"/>
    <w:rsid w:val="77A60777"/>
    <w:rsid w:val="7B907F82"/>
    <w:rsid w:val="7C3E26DE"/>
    <w:rsid w:val="7CEA3F1D"/>
    <w:rsid w:val="7F231565"/>
    <w:rsid w:val="7FF7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4">
    <w:name w:val="heading 1"/>
    <w:basedOn w:val="1"/>
    <w:next w:val="1"/>
    <w:link w:val="43"/>
    <w:qFormat/>
    <w:uiPriority w:val="9"/>
    <w:pPr>
      <w:keepNext/>
      <w:keepLines/>
      <w:numPr>
        <w:ilvl w:val="0"/>
        <w:numId w:val="1"/>
      </w:numPr>
      <w:ind w:firstLineChars="0"/>
      <w:outlineLvl w:val="0"/>
    </w:pPr>
    <w:rPr>
      <w:rFonts w:asciiTheme="majorHAnsi" w:hAnsiTheme="majorHAnsi" w:eastAsiaTheme="majorEastAsia"/>
      <w:b/>
      <w:bCs/>
      <w:kern w:val="44"/>
      <w:sz w:val="32"/>
      <w:szCs w:val="44"/>
    </w:rPr>
  </w:style>
  <w:style w:type="paragraph" w:styleId="5">
    <w:name w:val="heading 2"/>
    <w:basedOn w:val="1"/>
    <w:next w:val="1"/>
    <w:link w:val="44"/>
    <w:unhideWhenUsed/>
    <w:qFormat/>
    <w:uiPriority w:val="9"/>
    <w:pPr>
      <w:keepNext/>
      <w:keepLines/>
      <w:numPr>
        <w:ilvl w:val="1"/>
        <w:numId w:val="1"/>
      </w:numPr>
      <w:ind w:firstLineChars="0"/>
      <w:outlineLvl w:val="1"/>
    </w:pPr>
    <w:rPr>
      <w:rFonts w:asciiTheme="majorHAnsi" w:hAnsiTheme="majorHAnsi" w:eastAsiaTheme="majorEastAsia" w:cstheme="majorBidi"/>
      <w:b/>
      <w:bCs/>
      <w:sz w:val="32"/>
      <w:szCs w:val="32"/>
    </w:rPr>
  </w:style>
  <w:style w:type="paragraph" w:styleId="6">
    <w:name w:val="heading 3"/>
    <w:basedOn w:val="1"/>
    <w:next w:val="1"/>
    <w:link w:val="45"/>
    <w:unhideWhenUsed/>
    <w:qFormat/>
    <w:uiPriority w:val="9"/>
    <w:pPr>
      <w:keepNext/>
      <w:keepLines/>
      <w:numPr>
        <w:ilvl w:val="2"/>
        <w:numId w:val="1"/>
      </w:numPr>
      <w:ind w:firstLineChars="0"/>
      <w:outlineLvl w:val="2"/>
    </w:pPr>
    <w:rPr>
      <w:rFonts w:asciiTheme="majorHAnsi" w:hAnsiTheme="majorHAnsi" w:eastAsiaTheme="majorEastAsia"/>
      <w:b/>
      <w:bCs/>
      <w:sz w:val="28"/>
      <w:szCs w:val="32"/>
    </w:rPr>
  </w:style>
  <w:style w:type="paragraph" w:styleId="7">
    <w:name w:val="heading 4"/>
    <w:basedOn w:val="1"/>
    <w:next w:val="1"/>
    <w:link w:val="46"/>
    <w:unhideWhenUsed/>
    <w:qFormat/>
    <w:uiPriority w:val="9"/>
    <w:pPr>
      <w:keepNext/>
      <w:keepLines/>
      <w:numPr>
        <w:ilvl w:val="3"/>
        <w:numId w:val="1"/>
      </w:numPr>
      <w:ind w:firstLineChars="0"/>
      <w:outlineLvl w:val="3"/>
    </w:pPr>
    <w:rPr>
      <w:rFonts w:asciiTheme="majorHAnsi" w:hAnsiTheme="majorHAnsi" w:eastAsiaTheme="majorEastAsia" w:cstheme="majorBidi"/>
      <w:b/>
      <w:bCs/>
      <w:sz w:val="28"/>
      <w:szCs w:val="28"/>
    </w:rPr>
  </w:style>
  <w:style w:type="paragraph" w:styleId="8">
    <w:name w:val="heading 5"/>
    <w:basedOn w:val="1"/>
    <w:next w:val="1"/>
    <w:link w:val="47"/>
    <w:unhideWhenUsed/>
    <w:qFormat/>
    <w:uiPriority w:val="9"/>
    <w:pPr>
      <w:keepNext/>
      <w:keepLines/>
      <w:numPr>
        <w:ilvl w:val="4"/>
        <w:numId w:val="1"/>
      </w:numPr>
      <w:ind w:firstLineChars="0"/>
      <w:outlineLvl w:val="4"/>
    </w:pPr>
    <w:rPr>
      <w:rFonts w:asciiTheme="majorHAnsi" w:hAnsiTheme="majorHAnsi" w:eastAsiaTheme="majorEastAsia"/>
      <w:b/>
      <w:bCs/>
      <w:sz w:val="28"/>
      <w:szCs w:val="28"/>
    </w:rPr>
  </w:style>
  <w:style w:type="paragraph" w:styleId="9">
    <w:name w:val="heading 6"/>
    <w:basedOn w:val="1"/>
    <w:next w:val="1"/>
    <w:link w:val="48"/>
    <w:unhideWhenUsed/>
    <w:qFormat/>
    <w:uiPriority w:val="9"/>
    <w:pPr>
      <w:keepNext/>
      <w:keepLines/>
      <w:numPr>
        <w:ilvl w:val="5"/>
        <w:numId w:val="1"/>
      </w:numPr>
      <w:ind w:firstLineChars="0"/>
      <w:outlineLvl w:val="5"/>
    </w:pPr>
    <w:rPr>
      <w:rFonts w:asciiTheme="majorHAnsi" w:hAnsiTheme="majorHAnsi" w:eastAsiaTheme="majorEastAsia" w:cstheme="majorBidi"/>
      <w:b/>
      <w:bCs/>
      <w:sz w:val="28"/>
      <w:szCs w:val="24"/>
    </w:rPr>
  </w:style>
  <w:style w:type="paragraph" w:styleId="10">
    <w:name w:val="heading 7"/>
    <w:basedOn w:val="1"/>
    <w:next w:val="1"/>
    <w:link w:val="49"/>
    <w:unhideWhenUsed/>
    <w:qFormat/>
    <w:uiPriority w:val="9"/>
    <w:pPr>
      <w:keepNext/>
      <w:keepLines/>
      <w:numPr>
        <w:ilvl w:val="6"/>
        <w:numId w:val="1"/>
      </w:numPr>
      <w:ind w:firstLineChars="0"/>
      <w:outlineLvl w:val="6"/>
    </w:pPr>
    <w:rPr>
      <w:rFonts w:asciiTheme="majorHAnsi" w:hAnsiTheme="majorHAnsi" w:eastAsiaTheme="majorEastAsia"/>
      <w:b/>
      <w:bCs/>
      <w:sz w:val="28"/>
      <w:szCs w:val="24"/>
    </w:rPr>
  </w:style>
  <w:style w:type="paragraph" w:styleId="11">
    <w:name w:val="heading 8"/>
    <w:basedOn w:val="1"/>
    <w:next w:val="1"/>
    <w:link w:val="50"/>
    <w:unhideWhenUsed/>
    <w:qFormat/>
    <w:uiPriority w:val="9"/>
    <w:pPr>
      <w:keepNext/>
      <w:keepLines/>
      <w:numPr>
        <w:ilvl w:val="7"/>
        <w:numId w:val="1"/>
      </w:numPr>
      <w:ind w:firstLineChars="0"/>
      <w:outlineLvl w:val="7"/>
    </w:pPr>
    <w:rPr>
      <w:rFonts w:asciiTheme="majorHAnsi" w:hAnsiTheme="majorHAnsi" w:eastAsiaTheme="majorEastAsia" w:cstheme="majorBidi"/>
      <w:sz w:val="28"/>
      <w:szCs w:val="24"/>
    </w:rPr>
  </w:style>
  <w:style w:type="paragraph" w:styleId="12">
    <w:name w:val="heading 9"/>
    <w:basedOn w:val="1"/>
    <w:next w:val="1"/>
    <w:link w:val="51"/>
    <w:unhideWhenUsed/>
    <w:qFormat/>
    <w:uiPriority w:val="9"/>
    <w:pPr>
      <w:keepNext/>
      <w:keepLines/>
      <w:numPr>
        <w:ilvl w:val="8"/>
        <w:numId w:val="1"/>
      </w:numPr>
      <w:ind w:firstLineChars="0"/>
      <w:outlineLvl w:val="8"/>
    </w:pPr>
    <w:rPr>
      <w:rFonts w:asciiTheme="majorHAnsi" w:hAnsiTheme="majorHAnsi" w:eastAsiaTheme="majorEastAsia" w:cstheme="majorBidi"/>
      <w:sz w:val="28"/>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72"/>
    <w:qFormat/>
    <w:uiPriority w:val="99"/>
    <w:pPr>
      <w:spacing w:line="240" w:lineRule="auto"/>
      <w:ind w:firstLine="0" w:firstLineChars="0"/>
    </w:pPr>
    <w:rPr>
      <w:rFonts w:ascii="金山简黑体" w:hAnsi="Courier New" w:eastAsia="金山简黑体" w:cs="Times New Roman"/>
      <w:b/>
      <w:spacing w:val="-8"/>
      <w:sz w:val="44"/>
      <w:szCs w:val="24"/>
    </w:rPr>
  </w:style>
  <w:style w:type="paragraph" w:styleId="13">
    <w:name w:val="toc 7"/>
    <w:basedOn w:val="1"/>
    <w:next w:val="1"/>
    <w:unhideWhenUsed/>
    <w:qFormat/>
    <w:uiPriority w:val="39"/>
    <w:pPr>
      <w:spacing w:line="240" w:lineRule="auto"/>
      <w:ind w:left="2520" w:leftChars="1200" w:firstLine="0" w:firstLineChars="0"/>
    </w:pPr>
    <w:rPr>
      <w:sz w:val="21"/>
    </w:rPr>
  </w:style>
  <w:style w:type="paragraph" w:styleId="14">
    <w:name w:val="Normal Indent"/>
    <w:basedOn w:val="1"/>
    <w:link w:val="73"/>
    <w:qFormat/>
    <w:uiPriority w:val="0"/>
    <w:pPr>
      <w:spacing w:line="240" w:lineRule="auto"/>
      <w:ind w:firstLine="420" w:firstLineChars="0"/>
    </w:pPr>
    <w:rPr>
      <w:rFonts w:ascii="Times New Roman" w:hAnsi="Times New Roman" w:eastAsia="幼圆" w:cs="Times New Roman"/>
      <w:bCs/>
      <w:kern w:val="0"/>
      <w:szCs w:val="20"/>
      <w:lang w:val="zh-CN"/>
    </w:rPr>
  </w:style>
  <w:style w:type="paragraph" w:styleId="15">
    <w:name w:val="caption"/>
    <w:basedOn w:val="1"/>
    <w:next w:val="1"/>
    <w:link w:val="101"/>
    <w:unhideWhenUsed/>
    <w:qFormat/>
    <w:uiPriority w:val="35"/>
    <w:rPr>
      <w:rFonts w:eastAsia="黑体" w:asciiTheme="majorHAnsi" w:hAnsiTheme="majorHAnsi" w:cstheme="majorBidi"/>
      <w:sz w:val="20"/>
      <w:szCs w:val="20"/>
    </w:rPr>
  </w:style>
  <w:style w:type="paragraph" w:styleId="16">
    <w:name w:val="annotation text"/>
    <w:basedOn w:val="1"/>
    <w:link w:val="99"/>
    <w:semiHidden/>
    <w:unhideWhenUsed/>
    <w:qFormat/>
    <w:uiPriority w:val="99"/>
    <w:pPr>
      <w:jc w:val="left"/>
    </w:pPr>
  </w:style>
  <w:style w:type="paragraph" w:styleId="17">
    <w:name w:val="Body Text Indent"/>
    <w:basedOn w:val="1"/>
    <w:link w:val="62"/>
    <w:qFormat/>
    <w:uiPriority w:val="0"/>
    <w:pPr>
      <w:spacing w:line="200" w:lineRule="exact"/>
      <w:ind w:firstLine="301" w:firstLineChars="0"/>
    </w:pPr>
    <w:rPr>
      <w:rFonts w:ascii="宋体" w:hAnsi="Courier New" w:eastAsia="宋体" w:cs="Times New Roman"/>
      <w:spacing w:val="-4"/>
      <w:sz w:val="18"/>
      <w:szCs w:val="20"/>
    </w:rPr>
  </w:style>
  <w:style w:type="paragraph" w:styleId="18">
    <w:name w:val="toc 5"/>
    <w:basedOn w:val="1"/>
    <w:next w:val="1"/>
    <w:unhideWhenUsed/>
    <w:qFormat/>
    <w:uiPriority w:val="39"/>
    <w:pPr>
      <w:spacing w:line="240" w:lineRule="auto"/>
      <w:ind w:left="1680" w:leftChars="800" w:firstLine="0" w:firstLineChars="0"/>
    </w:pPr>
    <w:rPr>
      <w:sz w:val="21"/>
    </w:rPr>
  </w:style>
  <w:style w:type="paragraph" w:styleId="19">
    <w:name w:val="toc 3"/>
    <w:basedOn w:val="1"/>
    <w:next w:val="1"/>
    <w:unhideWhenUsed/>
    <w:qFormat/>
    <w:uiPriority w:val="39"/>
    <w:pPr>
      <w:ind w:left="840" w:leftChars="400"/>
    </w:pPr>
  </w:style>
  <w:style w:type="paragraph" w:styleId="20">
    <w:name w:val="Plain Text"/>
    <w:basedOn w:val="1"/>
    <w:link w:val="66"/>
    <w:qFormat/>
    <w:uiPriority w:val="0"/>
    <w:pPr>
      <w:spacing w:before="156" w:beforeLines="50" w:after="156" w:afterLines="50" w:line="400" w:lineRule="exact"/>
      <w:ind w:firstLine="0" w:firstLineChars="0"/>
    </w:pPr>
    <w:rPr>
      <w:rFonts w:ascii="宋体" w:hAnsi="Courier New" w:eastAsia="宋体"/>
      <w:szCs w:val="24"/>
    </w:rPr>
  </w:style>
  <w:style w:type="paragraph" w:styleId="21">
    <w:name w:val="toc 8"/>
    <w:basedOn w:val="1"/>
    <w:next w:val="1"/>
    <w:unhideWhenUsed/>
    <w:qFormat/>
    <w:uiPriority w:val="39"/>
    <w:pPr>
      <w:spacing w:line="240" w:lineRule="auto"/>
      <w:ind w:left="2940" w:leftChars="1400" w:firstLine="0" w:firstLineChars="0"/>
    </w:pPr>
    <w:rPr>
      <w:sz w:val="21"/>
    </w:rPr>
  </w:style>
  <w:style w:type="paragraph" w:styleId="22">
    <w:name w:val="index 3"/>
    <w:basedOn w:val="1"/>
    <w:next w:val="1"/>
    <w:qFormat/>
    <w:uiPriority w:val="0"/>
    <w:pPr>
      <w:numPr>
        <w:ilvl w:val="0"/>
        <w:numId w:val="2"/>
      </w:numPr>
      <w:spacing w:line="240" w:lineRule="auto"/>
      <w:ind w:firstLine="0" w:firstLineChars="0"/>
    </w:pPr>
    <w:rPr>
      <w:rFonts w:ascii="Calibri" w:hAnsi="Calibri" w:eastAsia="宋体" w:cs="Times New Roman"/>
      <w:szCs w:val="24"/>
    </w:rPr>
  </w:style>
  <w:style w:type="paragraph" w:styleId="23">
    <w:name w:val="Date"/>
    <w:basedOn w:val="1"/>
    <w:next w:val="1"/>
    <w:link w:val="65"/>
    <w:qFormat/>
    <w:uiPriority w:val="0"/>
    <w:pPr>
      <w:spacing w:line="240" w:lineRule="auto"/>
      <w:ind w:left="2500" w:leftChars="2500" w:firstLine="0" w:firstLineChars="0"/>
    </w:pPr>
    <w:rPr>
      <w:rFonts w:ascii="Times New Roman" w:hAnsi="Times New Roman" w:eastAsia="楷体_GB2312" w:cs="Times New Roman"/>
      <w:sz w:val="32"/>
      <w:szCs w:val="20"/>
    </w:rPr>
  </w:style>
  <w:style w:type="paragraph" w:styleId="24">
    <w:name w:val="Balloon Text"/>
    <w:basedOn w:val="1"/>
    <w:link w:val="59"/>
    <w:unhideWhenUsed/>
    <w:qFormat/>
    <w:uiPriority w:val="99"/>
    <w:pPr>
      <w:spacing w:line="240" w:lineRule="auto"/>
    </w:pPr>
    <w:rPr>
      <w:sz w:val="18"/>
      <w:szCs w:val="18"/>
    </w:rPr>
  </w:style>
  <w:style w:type="paragraph" w:styleId="25">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26">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rPr>
      <w:rFonts w:eastAsia="Arial"/>
    </w:rPr>
  </w:style>
  <w:style w:type="paragraph" w:styleId="28">
    <w:name w:val="toc 4"/>
    <w:basedOn w:val="1"/>
    <w:next w:val="1"/>
    <w:unhideWhenUsed/>
    <w:qFormat/>
    <w:uiPriority w:val="39"/>
    <w:pPr>
      <w:spacing w:line="240" w:lineRule="auto"/>
      <w:ind w:left="1260" w:leftChars="600" w:firstLine="0" w:firstLineChars="0"/>
    </w:pPr>
    <w:rPr>
      <w:sz w:val="21"/>
    </w:rPr>
  </w:style>
  <w:style w:type="paragraph" w:styleId="29">
    <w:name w:val="toc 6"/>
    <w:basedOn w:val="1"/>
    <w:next w:val="1"/>
    <w:unhideWhenUsed/>
    <w:qFormat/>
    <w:uiPriority w:val="39"/>
    <w:pPr>
      <w:spacing w:line="240" w:lineRule="auto"/>
      <w:ind w:left="2100" w:leftChars="1000" w:firstLine="0" w:firstLineChars="0"/>
    </w:pPr>
    <w:rPr>
      <w:sz w:val="21"/>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spacing w:line="240" w:lineRule="auto"/>
      <w:ind w:left="3360" w:leftChars="1600" w:firstLine="0" w:firstLineChars="0"/>
    </w:pPr>
    <w:rPr>
      <w:sz w:val="21"/>
    </w:rPr>
  </w:style>
  <w:style w:type="paragraph" w:styleId="32">
    <w:name w:val="HTML Preformatted"/>
    <w:basedOn w:val="1"/>
    <w:link w:val="9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Cs w:val="24"/>
    </w:rPr>
  </w:style>
  <w:style w:type="paragraph" w:styleId="3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34">
    <w:name w:val="Title"/>
    <w:basedOn w:val="1"/>
    <w:next w:val="1"/>
    <w:link w:val="53"/>
    <w:qFormat/>
    <w:uiPriority w:val="1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6"/>
    <w:next w:val="16"/>
    <w:link w:val="100"/>
    <w:semiHidden/>
    <w:unhideWhenUsed/>
    <w:qFormat/>
    <w:uiPriority w:val="99"/>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FollowedHyperlink"/>
    <w:basedOn w:val="38"/>
    <w:semiHidden/>
    <w:unhideWhenUsed/>
    <w:qFormat/>
    <w:uiPriority w:val="99"/>
    <w:rPr>
      <w:color w:val="800080"/>
      <w:u w:val="single"/>
    </w:rPr>
  </w:style>
  <w:style w:type="character" w:styleId="41">
    <w:name w:val="Hyperlink"/>
    <w:basedOn w:val="38"/>
    <w:unhideWhenUsed/>
    <w:qFormat/>
    <w:uiPriority w:val="99"/>
    <w:rPr>
      <w:color w:val="0000FF" w:themeColor="hyperlink"/>
      <w:u w:val="single"/>
      <w14:textFill>
        <w14:solidFill>
          <w14:schemeClr w14:val="hlink"/>
        </w14:solidFill>
      </w14:textFill>
    </w:rPr>
  </w:style>
  <w:style w:type="character" w:styleId="42">
    <w:name w:val="annotation reference"/>
    <w:basedOn w:val="38"/>
    <w:semiHidden/>
    <w:unhideWhenUsed/>
    <w:qFormat/>
    <w:uiPriority w:val="99"/>
    <w:rPr>
      <w:sz w:val="21"/>
      <w:szCs w:val="21"/>
    </w:rPr>
  </w:style>
  <w:style w:type="character" w:customStyle="1" w:styleId="43">
    <w:name w:val="标题 1 字符"/>
    <w:basedOn w:val="38"/>
    <w:link w:val="4"/>
    <w:qFormat/>
    <w:uiPriority w:val="9"/>
    <w:rPr>
      <w:rFonts w:asciiTheme="majorHAnsi" w:hAnsiTheme="majorHAnsi" w:eastAsiaTheme="majorEastAsia"/>
      <w:b/>
      <w:bCs/>
      <w:kern w:val="44"/>
      <w:sz w:val="32"/>
      <w:szCs w:val="44"/>
    </w:rPr>
  </w:style>
  <w:style w:type="character" w:customStyle="1" w:styleId="44">
    <w:name w:val="标题 2 字符"/>
    <w:basedOn w:val="38"/>
    <w:link w:val="5"/>
    <w:qFormat/>
    <w:uiPriority w:val="9"/>
    <w:rPr>
      <w:rFonts w:asciiTheme="majorHAnsi" w:hAnsiTheme="majorHAnsi" w:eastAsiaTheme="majorEastAsia" w:cstheme="majorBidi"/>
      <w:b/>
      <w:bCs/>
      <w:sz w:val="32"/>
      <w:szCs w:val="32"/>
    </w:rPr>
  </w:style>
  <w:style w:type="character" w:customStyle="1" w:styleId="45">
    <w:name w:val="标题 3 字符"/>
    <w:basedOn w:val="38"/>
    <w:link w:val="6"/>
    <w:qFormat/>
    <w:uiPriority w:val="9"/>
    <w:rPr>
      <w:rFonts w:asciiTheme="majorHAnsi" w:hAnsiTheme="majorHAnsi" w:eastAsiaTheme="majorEastAsia"/>
      <w:b/>
      <w:bCs/>
      <w:sz w:val="28"/>
      <w:szCs w:val="32"/>
    </w:rPr>
  </w:style>
  <w:style w:type="character" w:customStyle="1" w:styleId="46">
    <w:name w:val="标题 4 字符"/>
    <w:basedOn w:val="38"/>
    <w:link w:val="7"/>
    <w:qFormat/>
    <w:uiPriority w:val="9"/>
    <w:rPr>
      <w:rFonts w:asciiTheme="majorHAnsi" w:hAnsiTheme="majorHAnsi" w:eastAsiaTheme="majorEastAsia" w:cstheme="majorBidi"/>
      <w:b/>
      <w:bCs/>
      <w:sz w:val="28"/>
      <w:szCs w:val="28"/>
    </w:rPr>
  </w:style>
  <w:style w:type="character" w:customStyle="1" w:styleId="47">
    <w:name w:val="标题 5 字符"/>
    <w:basedOn w:val="38"/>
    <w:link w:val="8"/>
    <w:qFormat/>
    <w:uiPriority w:val="9"/>
    <w:rPr>
      <w:rFonts w:asciiTheme="majorHAnsi" w:hAnsiTheme="majorHAnsi" w:eastAsiaTheme="majorEastAsia"/>
      <w:b/>
      <w:bCs/>
      <w:sz w:val="28"/>
      <w:szCs w:val="28"/>
    </w:rPr>
  </w:style>
  <w:style w:type="character" w:customStyle="1" w:styleId="48">
    <w:name w:val="标题 6 字符"/>
    <w:basedOn w:val="38"/>
    <w:link w:val="9"/>
    <w:qFormat/>
    <w:uiPriority w:val="9"/>
    <w:rPr>
      <w:rFonts w:asciiTheme="majorHAnsi" w:hAnsiTheme="majorHAnsi" w:eastAsiaTheme="majorEastAsia" w:cstheme="majorBidi"/>
      <w:b/>
      <w:bCs/>
      <w:sz w:val="28"/>
      <w:szCs w:val="24"/>
    </w:rPr>
  </w:style>
  <w:style w:type="character" w:customStyle="1" w:styleId="49">
    <w:name w:val="标题 7 字符"/>
    <w:basedOn w:val="38"/>
    <w:link w:val="10"/>
    <w:qFormat/>
    <w:uiPriority w:val="9"/>
    <w:rPr>
      <w:rFonts w:asciiTheme="majorHAnsi" w:hAnsiTheme="majorHAnsi" w:eastAsiaTheme="majorEastAsia"/>
      <w:b/>
      <w:bCs/>
      <w:sz w:val="28"/>
      <w:szCs w:val="24"/>
    </w:rPr>
  </w:style>
  <w:style w:type="character" w:customStyle="1" w:styleId="50">
    <w:name w:val="标题 8 字符"/>
    <w:basedOn w:val="38"/>
    <w:link w:val="11"/>
    <w:qFormat/>
    <w:uiPriority w:val="9"/>
    <w:rPr>
      <w:rFonts w:asciiTheme="majorHAnsi" w:hAnsiTheme="majorHAnsi" w:eastAsiaTheme="majorEastAsia" w:cstheme="majorBidi"/>
      <w:sz w:val="28"/>
      <w:szCs w:val="24"/>
    </w:rPr>
  </w:style>
  <w:style w:type="character" w:customStyle="1" w:styleId="51">
    <w:name w:val="标题 9 字符"/>
    <w:basedOn w:val="38"/>
    <w:link w:val="12"/>
    <w:qFormat/>
    <w:uiPriority w:val="9"/>
    <w:rPr>
      <w:rFonts w:asciiTheme="majorHAnsi" w:hAnsiTheme="majorHAnsi" w:eastAsiaTheme="majorEastAsia" w:cstheme="majorBidi"/>
      <w:sz w:val="28"/>
      <w:szCs w:val="21"/>
    </w:rPr>
  </w:style>
  <w:style w:type="paragraph" w:styleId="52">
    <w:name w:val="No Spacing"/>
    <w:link w:val="114"/>
    <w:qFormat/>
    <w:uiPriority w:val="1"/>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character" w:customStyle="1" w:styleId="53">
    <w:name w:val="标题 字符"/>
    <w:basedOn w:val="38"/>
    <w:link w:val="34"/>
    <w:qFormat/>
    <w:uiPriority w:val="10"/>
    <w:rPr>
      <w:rFonts w:eastAsia="宋体" w:asciiTheme="majorHAnsi" w:hAnsiTheme="majorHAnsi" w:cstheme="majorBidi"/>
      <w:b/>
      <w:bCs/>
      <w:sz w:val="32"/>
      <w:szCs w:val="32"/>
    </w:rPr>
  </w:style>
  <w:style w:type="character" w:customStyle="1" w:styleId="54">
    <w:name w:val="页眉 字符"/>
    <w:basedOn w:val="38"/>
    <w:link w:val="26"/>
    <w:qFormat/>
    <w:uiPriority w:val="99"/>
    <w:rPr>
      <w:sz w:val="18"/>
      <w:szCs w:val="18"/>
    </w:rPr>
  </w:style>
  <w:style w:type="character" w:customStyle="1" w:styleId="55">
    <w:name w:val="页脚 字符"/>
    <w:basedOn w:val="38"/>
    <w:link w:val="25"/>
    <w:qFormat/>
    <w:uiPriority w:val="99"/>
    <w:rPr>
      <w:sz w:val="18"/>
      <w:szCs w:val="18"/>
    </w:rPr>
  </w:style>
  <w:style w:type="paragraph" w:styleId="56">
    <w:name w:val="List Paragraph"/>
    <w:basedOn w:val="1"/>
    <w:link w:val="57"/>
    <w:qFormat/>
    <w:uiPriority w:val="99"/>
    <w:pPr>
      <w:widowControl/>
      <w:ind w:left="720"/>
      <w:contextualSpacing/>
    </w:pPr>
    <w:rPr>
      <w:kern w:val="0"/>
    </w:rPr>
  </w:style>
  <w:style w:type="character" w:customStyle="1" w:styleId="57">
    <w:name w:val="列表段落 字符"/>
    <w:link w:val="56"/>
    <w:qFormat/>
    <w:uiPriority w:val="34"/>
    <w:rPr>
      <w:kern w:val="0"/>
      <w:sz w:val="24"/>
    </w:rPr>
  </w:style>
  <w:style w:type="character" w:customStyle="1" w:styleId="58">
    <w:name w:val="apple-converted-space"/>
    <w:basedOn w:val="38"/>
    <w:qFormat/>
    <w:uiPriority w:val="0"/>
  </w:style>
  <w:style w:type="character" w:customStyle="1" w:styleId="59">
    <w:name w:val="批注框文本 字符"/>
    <w:basedOn w:val="38"/>
    <w:link w:val="24"/>
    <w:qFormat/>
    <w:uiPriority w:val="99"/>
    <w:rPr>
      <w:sz w:val="18"/>
      <w:szCs w:val="18"/>
    </w:rPr>
  </w:style>
  <w:style w:type="paragraph" w:customStyle="1" w:styleId="60">
    <w:name w:val="TOC 标题1"/>
    <w:basedOn w:val="4"/>
    <w:next w:val="1"/>
    <w:unhideWhenUsed/>
    <w:qFormat/>
    <w:uiPriority w:val="39"/>
    <w:pPr>
      <w:widowControl/>
      <w:numPr>
        <w:numId w:val="0"/>
      </w:numPr>
      <w:spacing w:before="240" w:line="259" w:lineRule="auto"/>
      <w:jc w:val="left"/>
      <w:outlineLvl w:val="9"/>
    </w:pPr>
    <w:rPr>
      <w:rFonts w:cstheme="majorBidi"/>
      <w:b w:val="0"/>
      <w:bCs w:val="0"/>
      <w:color w:val="376092" w:themeColor="accent1" w:themeShade="BF"/>
      <w:kern w:val="0"/>
      <w:szCs w:val="32"/>
    </w:rPr>
  </w:style>
  <w:style w:type="paragraph" w:customStyle="1" w:styleId="6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2">
    <w:name w:val="正文文本缩进 字符"/>
    <w:basedOn w:val="38"/>
    <w:link w:val="17"/>
    <w:qFormat/>
    <w:uiPriority w:val="0"/>
    <w:rPr>
      <w:rFonts w:ascii="宋体" w:hAnsi="Courier New" w:eastAsia="宋体" w:cs="Times New Roman"/>
      <w:spacing w:val="-4"/>
      <w:sz w:val="18"/>
      <w:szCs w:val="20"/>
    </w:rPr>
  </w:style>
  <w:style w:type="paragraph" w:customStyle="1" w:styleId="63">
    <w:name w:val="_Style 1"/>
    <w:qFormat/>
    <w:uiPriority w:val="1"/>
    <w:pPr>
      <w:widowControl w:val="0"/>
      <w:jc w:val="both"/>
    </w:pPr>
    <w:rPr>
      <w:rFonts w:ascii="Times New Roman" w:hAnsi="Times New Roman" w:eastAsia="仿宋_GB2312" w:cs="Times New Roman"/>
      <w:kern w:val="2"/>
      <w:sz w:val="32"/>
      <w:szCs w:val="22"/>
      <w:lang w:val="en-US" w:eastAsia="zh-CN" w:bidi="ar-SA"/>
    </w:rPr>
  </w:style>
  <w:style w:type="paragraph" w:customStyle="1" w:styleId="64">
    <w:name w:val="_Style 2"/>
    <w:basedOn w:val="1"/>
    <w:qFormat/>
    <w:uiPriority w:val="34"/>
    <w:pPr>
      <w:spacing w:line="240" w:lineRule="auto"/>
      <w:ind w:firstLine="420"/>
    </w:pPr>
    <w:rPr>
      <w:rFonts w:ascii="Calibri" w:hAnsi="Calibri" w:eastAsia="宋体" w:cs="Times New Roman"/>
      <w:sz w:val="21"/>
    </w:rPr>
  </w:style>
  <w:style w:type="character" w:customStyle="1" w:styleId="65">
    <w:name w:val="日期 字符"/>
    <w:basedOn w:val="38"/>
    <w:link w:val="23"/>
    <w:qFormat/>
    <w:uiPriority w:val="0"/>
    <w:rPr>
      <w:rFonts w:ascii="Times New Roman" w:hAnsi="Times New Roman" w:eastAsia="楷体_GB2312" w:cs="Times New Roman"/>
      <w:sz w:val="32"/>
      <w:szCs w:val="20"/>
    </w:rPr>
  </w:style>
  <w:style w:type="character" w:customStyle="1" w:styleId="66">
    <w:name w:val="纯文本 字符"/>
    <w:link w:val="20"/>
    <w:qFormat/>
    <w:uiPriority w:val="0"/>
    <w:rPr>
      <w:rFonts w:ascii="宋体" w:hAnsi="Courier New" w:eastAsia="宋体"/>
      <w:sz w:val="24"/>
      <w:szCs w:val="24"/>
    </w:rPr>
  </w:style>
  <w:style w:type="character" w:customStyle="1" w:styleId="67">
    <w:name w:val="纯文本 Char1"/>
    <w:basedOn w:val="38"/>
    <w:semiHidden/>
    <w:qFormat/>
    <w:uiPriority w:val="99"/>
    <w:rPr>
      <w:rFonts w:ascii="宋体" w:hAnsi="Courier New" w:eastAsia="宋体" w:cs="Courier New"/>
      <w:szCs w:val="21"/>
    </w:rPr>
  </w:style>
  <w:style w:type="character" w:customStyle="1" w:styleId="68">
    <w:name w:val="!正文 Char Char"/>
    <w:link w:val="69"/>
    <w:qFormat/>
    <w:uiPriority w:val="0"/>
    <w:rPr>
      <w:sz w:val="24"/>
      <w:szCs w:val="21"/>
      <w:lang w:val="zh-CN" w:eastAsia="zh-CN"/>
    </w:rPr>
  </w:style>
  <w:style w:type="paragraph" w:customStyle="1" w:styleId="69">
    <w:name w:val="!正文"/>
    <w:basedOn w:val="1"/>
    <w:link w:val="68"/>
    <w:qFormat/>
    <w:uiPriority w:val="0"/>
    <w:rPr>
      <w:szCs w:val="21"/>
      <w:lang w:val="zh-CN"/>
    </w:rPr>
  </w:style>
  <w:style w:type="paragraph" w:customStyle="1" w:styleId="70">
    <w:name w:val="图号"/>
    <w:basedOn w:val="1"/>
    <w:next w:val="1"/>
    <w:qFormat/>
    <w:uiPriority w:val="0"/>
    <w:pPr>
      <w:autoSpaceDE w:val="0"/>
      <w:autoSpaceDN w:val="0"/>
      <w:adjustRightInd w:val="0"/>
      <w:spacing w:beforeLines="50" w:afterLines="100"/>
      <w:ind w:left="-482" w:firstLine="482" w:firstLineChars="0"/>
      <w:jc w:val="center"/>
    </w:pPr>
    <w:rPr>
      <w:rFonts w:ascii="Times New Roman" w:hAnsi="Times New Roman" w:eastAsia="黑体" w:cs="Times New Roman"/>
      <w:kern w:val="0"/>
      <w:sz w:val="21"/>
      <w:szCs w:val="18"/>
    </w:rPr>
  </w:style>
  <w:style w:type="paragraph" w:customStyle="1" w:styleId="71">
    <w:name w:val="图形 居中"/>
    <w:next w:val="70"/>
    <w:qFormat/>
    <w:uiPriority w:val="0"/>
    <w:pPr>
      <w:spacing w:beforeLines="100"/>
      <w:jc w:val="center"/>
    </w:pPr>
    <w:rPr>
      <w:rFonts w:ascii="Times New Roman" w:hAnsi="Times New Roman" w:eastAsia="黑体" w:cs="Arial"/>
      <w:kern w:val="2"/>
      <w:sz w:val="24"/>
      <w:lang w:val="en-US" w:eastAsia="zh-CN" w:bidi="ar-SA"/>
    </w:rPr>
  </w:style>
  <w:style w:type="character" w:customStyle="1" w:styleId="72">
    <w:name w:val="正文文本 字符"/>
    <w:basedOn w:val="38"/>
    <w:link w:val="3"/>
    <w:qFormat/>
    <w:uiPriority w:val="99"/>
    <w:rPr>
      <w:rFonts w:ascii="金山简黑体" w:hAnsi="Courier New" w:eastAsia="金山简黑体" w:cs="Times New Roman"/>
      <w:b/>
      <w:spacing w:val="-8"/>
      <w:sz w:val="44"/>
      <w:szCs w:val="24"/>
    </w:rPr>
  </w:style>
  <w:style w:type="character" w:customStyle="1" w:styleId="73">
    <w:name w:val="正文缩进 字符"/>
    <w:link w:val="14"/>
    <w:qFormat/>
    <w:uiPriority w:val="0"/>
    <w:rPr>
      <w:rFonts w:ascii="Times New Roman" w:hAnsi="Times New Roman" w:eastAsia="幼圆" w:cs="Times New Roman"/>
      <w:bCs/>
      <w:kern w:val="0"/>
      <w:sz w:val="24"/>
      <w:szCs w:val="20"/>
      <w:lang w:val="zh-CN" w:eastAsia="zh-CN"/>
    </w:rPr>
  </w:style>
  <w:style w:type="paragraph" w:customStyle="1" w:styleId="74">
    <w:name w:val="正文 New New"/>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customStyle="1" w:styleId="75">
    <w:name w:val="表格 Char"/>
    <w:link w:val="76"/>
    <w:qFormat/>
    <w:locked/>
    <w:uiPriority w:val="0"/>
    <w:rPr>
      <w:rFonts w:ascii="宋体" w:hAnsi="宋体" w:eastAsia="宋体" w:cs="Times New Roman"/>
      <w:kern w:val="0"/>
      <w:sz w:val="24"/>
      <w:szCs w:val="24"/>
      <w:lang w:val="zh-CN" w:eastAsia="zh-CN"/>
    </w:rPr>
  </w:style>
  <w:style w:type="paragraph" w:customStyle="1" w:styleId="76">
    <w:name w:val="表格"/>
    <w:basedOn w:val="1"/>
    <w:link w:val="75"/>
    <w:qFormat/>
    <w:uiPriority w:val="0"/>
    <w:pPr>
      <w:ind w:firstLine="0" w:firstLineChars="0"/>
    </w:pPr>
    <w:rPr>
      <w:rFonts w:ascii="宋体" w:hAnsi="宋体" w:eastAsia="宋体" w:cs="Times New Roman"/>
      <w:kern w:val="0"/>
      <w:szCs w:val="24"/>
      <w:lang w:val="zh-CN"/>
    </w:rPr>
  </w:style>
  <w:style w:type="paragraph" w:customStyle="1" w:styleId="77">
    <w:name w:val="正文表格标准"/>
    <w:basedOn w:val="1"/>
    <w:qFormat/>
    <w:uiPriority w:val="0"/>
    <w:pPr>
      <w:ind w:firstLine="0" w:firstLineChars="0"/>
      <w:jc w:val="left"/>
    </w:pPr>
    <w:rPr>
      <w:rFonts w:ascii="Times New Roman" w:hAnsi="Times New Roman" w:eastAsia="宋体" w:cs="Times New Roman"/>
      <w:kern w:val="0"/>
      <w:sz w:val="21"/>
      <w:szCs w:val="20"/>
    </w:rPr>
  </w:style>
  <w:style w:type="paragraph" w:customStyle="1" w:styleId="78">
    <w:name w:val="reader-word-lay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79">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8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81">
    <w:name w:val="xl64"/>
    <w:basedOn w:val="1"/>
    <w:qFormat/>
    <w:uiPriority w:val="0"/>
    <w:pPr>
      <w:widowControl/>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8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color w:val="000000"/>
      <w:kern w:val="0"/>
      <w:szCs w:val="24"/>
    </w:rPr>
  </w:style>
  <w:style w:type="paragraph" w:customStyle="1" w:styleId="8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color w:val="000000"/>
      <w:kern w:val="0"/>
      <w:szCs w:val="24"/>
    </w:rPr>
  </w:style>
  <w:style w:type="paragraph" w:customStyle="1" w:styleId="8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Cs w:val="24"/>
    </w:rPr>
  </w:style>
  <w:style w:type="paragraph" w:customStyle="1" w:styleId="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88">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1"/>
      <w:szCs w:val="21"/>
    </w:rPr>
  </w:style>
  <w:style w:type="paragraph" w:customStyle="1" w:styleId="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0">
    <w:name w:val="xl7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2">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3">
    <w:name w:val="xl7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6">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9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character" w:customStyle="1" w:styleId="98">
    <w:name w:val="HTML 预设格式 字符"/>
    <w:basedOn w:val="38"/>
    <w:link w:val="32"/>
    <w:semiHidden/>
    <w:qFormat/>
    <w:uiPriority w:val="99"/>
    <w:rPr>
      <w:rFonts w:ascii="宋体" w:hAnsi="宋体" w:eastAsia="宋体" w:cs="宋体"/>
      <w:kern w:val="0"/>
      <w:sz w:val="24"/>
      <w:szCs w:val="24"/>
    </w:rPr>
  </w:style>
  <w:style w:type="character" w:customStyle="1" w:styleId="99">
    <w:name w:val="批注文字 字符"/>
    <w:basedOn w:val="38"/>
    <w:link w:val="16"/>
    <w:semiHidden/>
    <w:qFormat/>
    <w:uiPriority w:val="99"/>
    <w:rPr>
      <w:sz w:val="24"/>
    </w:rPr>
  </w:style>
  <w:style w:type="character" w:customStyle="1" w:styleId="100">
    <w:name w:val="批注主题 字符"/>
    <w:basedOn w:val="99"/>
    <w:link w:val="35"/>
    <w:semiHidden/>
    <w:qFormat/>
    <w:uiPriority w:val="99"/>
    <w:rPr>
      <w:b/>
      <w:bCs/>
      <w:sz w:val="24"/>
    </w:rPr>
  </w:style>
  <w:style w:type="character" w:customStyle="1" w:styleId="101">
    <w:name w:val="题注 字符"/>
    <w:link w:val="15"/>
    <w:qFormat/>
    <w:uiPriority w:val="0"/>
    <w:rPr>
      <w:rFonts w:eastAsia="黑体" w:asciiTheme="majorHAnsi" w:hAnsiTheme="majorHAnsi" w:cstheme="majorBidi"/>
      <w:sz w:val="20"/>
      <w:szCs w:val="20"/>
    </w:rPr>
  </w:style>
  <w:style w:type="paragraph" w:customStyle="1" w:styleId="102">
    <w:name w:val="表内文字"/>
    <w:basedOn w:val="1"/>
    <w:qFormat/>
    <w:uiPriority w:val="0"/>
    <w:pPr>
      <w:tabs>
        <w:tab w:val="left" w:pos="1418"/>
      </w:tabs>
      <w:ind w:firstLine="0" w:firstLineChars="0"/>
      <w:jc w:val="center"/>
    </w:pPr>
    <w:rPr>
      <w:rFonts w:ascii="仿宋_GB2312" w:hAnsi="Times New Roman" w:eastAsia="仿宋_GB2312" w:cs="Times New Roman"/>
      <w:spacing w:val="-20"/>
      <w:kern w:val="0"/>
      <w:szCs w:val="24"/>
    </w:rPr>
  </w:style>
  <w:style w:type="character" w:customStyle="1" w:styleId="103">
    <w:name w:val="正文文本缩进 Char1"/>
    <w:basedOn w:val="38"/>
    <w:semiHidden/>
    <w:qFormat/>
    <w:uiPriority w:val="99"/>
    <w:rPr>
      <w:sz w:val="24"/>
    </w:rPr>
  </w:style>
  <w:style w:type="paragraph" w:customStyle="1" w:styleId="104">
    <w:name w:val="图文"/>
    <w:basedOn w:val="1"/>
    <w:qFormat/>
    <w:uiPriority w:val="0"/>
    <w:pPr>
      <w:adjustRightInd w:val="0"/>
      <w:snapToGrid w:val="0"/>
      <w:spacing w:after="50"/>
      <w:ind w:firstLine="0" w:firstLineChars="0"/>
    </w:pPr>
    <w:rPr>
      <w:rFonts w:ascii="Times New Roman" w:hAnsi="Times New Roman" w:eastAsia="宋体" w:cs="Times New Roman"/>
      <w:szCs w:val="24"/>
    </w:rPr>
  </w:style>
  <w:style w:type="character" w:customStyle="1" w:styleId="105">
    <w:name w:val="不明显强调1"/>
    <w:basedOn w:val="38"/>
    <w:qFormat/>
    <w:uiPriority w:val="19"/>
    <w:rPr>
      <w:i/>
      <w:iCs/>
      <w:color w:val="404040" w:themeColor="text1" w:themeTint="BF"/>
      <w14:textFill>
        <w14:solidFill>
          <w14:schemeClr w14:val="tx1">
            <w14:lumMod w14:val="75000"/>
            <w14:lumOff w14:val="25000"/>
          </w14:schemeClr>
        </w14:solidFill>
      </w14:textFill>
    </w:rPr>
  </w:style>
  <w:style w:type="paragraph" w:customStyle="1" w:styleId="106">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107">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u w:val="single"/>
    </w:rPr>
  </w:style>
  <w:style w:type="paragraph" w:customStyle="1" w:styleId="108">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2"/>
    </w:rPr>
  </w:style>
  <w:style w:type="paragraph" w:customStyle="1" w:styleId="10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1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eastAsia="宋体" w:cs="宋体"/>
      <w:kern w:val="0"/>
      <w:szCs w:val="24"/>
    </w:rPr>
  </w:style>
  <w:style w:type="paragraph" w:customStyle="1" w:styleId="11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eastAsia="宋体" w:cs="宋体"/>
      <w:kern w:val="0"/>
      <w:szCs w:val="24"/>
    </w:rPr>
  </w:style>
  <w:style w:type="paragraph" w:customStyle="1" w:styleId="112">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13">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character" w:customStyle="1" w:styleId="114">
    <w:name w:val="无间隔 字符"/>
    <w:link w:val="52"/>
    <w:qFormat/>
    <w:locked/>
    <w:uiPriority w:val="1"/>
    <w:rPr>
      <w:sz w:val="24"/>
    </w:rPr>
  </w:style>
  <w:style w:type="paragraph" w:customStyle="1" w:styleId="115">
    <w:name w:val="TOC 标题2"/>
    <w:basedOn w:val="4"/>
    <w:next w:val="1"/>
    <w:unhideWhenUsed/>
    <w:qFormat/>
    <w:uiPriority w:val="39"/>
    <w:pPr>
      <w:widowControl/>
      <w:numPr>
        <w:numId w:val="0"/>
      </w:numPr>
      <w:spacing w:before="240" w:line="259" w:lineRule="auto"/>
      <w:jc w:val="left"/>
      <w:outlineLvl w:val="9"/>
    </w:pPr>
    <w:rPr>
      <w:rFonts w:cstheme="majorBidi"/>
      <w:b w:val="0"/>
      <w:bCs w:val="0"/>
      <w:color w:val="376092" w:themeColor="accent1" w:themeShade="BF"/>
      <w:kern w:val="0"/>
      <w:szCs w:val="32"/>
    </w:rPr>
  </w:style>
  <w:style w:type="paragraph" w:customStyle="1" w:styleId="116">
    <w:name w:val="Revision"/>
    <w:hidden/>
    <w:unhideWhenUsed/>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BCD2-851E-4BE1-A95E-DB7A148F194C}">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15</Pages>
  <Words>7675</Words>
  <Characters>7879</Characters>
  <Lines>69</Lines>
  <Paragraphs>19</Paragraphs>
  <TotalTime>216</TotalTime>
  <ScaleCrop>false</ScaleCrop>
  <LinksUpToDate>false</LinksUpToDate>
  <CharactersWithSpaces>7920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2018-06-26T10:01:00Z</dcterms:created>
  <dc:creator>Windows 用户</dc:creator>
  <cp:lastModifiedBy>小耳朵</cp:lastModifiedBy>
  <cp:lastPrinted>2024-06-05T01:25:00Z</cp:lastPrinted>
  <dcterms:modified xsi:type="dcterms:W3CDTF">2024-06-06T02:01:25Z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6D780BB42FC9410DA3A195389E595FA4</vt:lpwstr>
  </property>
</Properties>
</file>