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CA219">
      <w:pPr>
        <w:spacing w:line="440" w:lineRule="exact"/>
        <w:ind w:firstLine="803" w:firstLineChars="200"/>
        <w:jc w:val="center"/>
        <w:outlineLvl w:val="0"/>
        <w:rPr>
          <w:rFonts w:ascii="仿宋" w:hAnsi="仿宋" w:eastAsia="仿宋" w:cs="仿宋"/>
          <w:b/>
          <w:color w:val="000000"/>
        </w:rPr>
      </w:pPr>
      <w:r>
        <w:rPr>
          <w:rFonts w:hint="eastAsia" w:ascii="仿宋" w:hAnsi="仿宋" w:eastAsia="仿宋" w:cs="仿宋"/>
          <w:b/>
          <w:bCs/>
          <w:kern w:val="36"/>
          <w:sz w:val="40"/>
          <w:szCs w:val="40"/>
        </w:rPr>
        <w:t>信创超融合平台建设项目采购需求</w:t>
      </w:r>
    </w:p>
    <w:p w14:paraId="0C73A1C1">
      <w:pPr>
        <w:spacing w:line="440" w:lineRule="exact"/>
        <w:ind w:firstLine="482" w:firstLineChars="200"/>
        <w:jc w:val="center"/>
        <w:rPr>
          <w:rFonts w:ascii="仿宋" w:hAnsi="仿宋" w:eastAsia="仿宋" w:cs="仿宋"/>
          <w:b/>
          <w:color w:val="000000"/>
        </w:rPr>
      </w:pPr>
    </w:p>
    <w:p w14:paraId="5FFFE311">
      <w:pPr>
        <w:spacing w:line="380" w:lineRule="exact"/>
        <w:rPr>
          <w:rFonts w:ascii="宋体" w:hAnsi="宋体" w:cs="仿宋"/>
          <w:bCs/>
          <w:color w:val="FF0000"/>
        </w:rPr>
      </w:pPr>
      <w:r>
        <w:rPr>
          <w:rFonts w:hint="eastAsia" w:ascii="宋体" w:hAnsi="宋体" w:cs="仿宋"/>
          <w:bCs/>
          <w:color w:val="000000"/>
        </w:rPr>
        <w:t>一、项目概况</w:t>
      </w:r>
    </w:p>
    <w:p w14:paraId="61048BB8">
      <w:pPr>
        <w:ind w:firstLine="480" w:firstLineChars="200"/>
        <w:rPr>
          <w:rFonts w:ascii="宋体" w:hAnsi="宋体" w:cs="仿宋"/>
          <w:bCs/>
          <w:color w:val="000000"/>
        </w:rPr>
      </w:pPr>
      <w:r>
        <w:rPr>
          <w:rFonts w:hint="eastAsia" w:ascii="宋体" w:hAnsi="宋体" w:cs="仿宋"/>
          <w:bCs/>
          <w:color w:val="000000"/>
        </w:rPr>
        <w:t>1、为满足学校未来在“信创”领域的建设需要，本次项目先行搭建信创超融合集群一套作为基础设施。</w:t>
      </w:r>
    </w:p>
    <w:p w14:paraId="7B3303A4">
      <w:pPr>
        <w:ind w:firstLine="480" w:firstLineChars="200"/>
        <w:rPr>
          <w:rFonts w:ascii="宋体" w:hAnsi="宋体"/>
          <w:bCs/>
        </w:rPr>
      </w:pPr>
      <w:r>
        <w:rPr>
          <w:rFonts w:ascii="宋体" w:hAnsi="宋体" w:cs="仿宋"/>
          <w:bCs/>
          <w:color w:val="000000"/>
        </w:rPr>
        <w:t>2</w:t>
      </w:r>
      <w:r>
        <w:rPr>
          <w:rFonts w:hint="eastAsia" w:ascii="宋体" w:hAnsi="宋体" w:cs="仿宋"/>
          <w:bCs/>
          <w:color w:val="000000"/>
        </w:rPr>
        <w:t>、</w:t>
      </w:r>
      <w:r>
        <w:rPr>
          <w:rFonts w:ascii="宋体" w:hAnsi="宋体" w:cs="宋体"/>
          <w:bCs/>
          <w:shd w:val="clear" w:color="auto" w:fill="FFFFFF"/>
        </w:rPr>
        <w:t>投标人提供的所有货物必须通过合法渠道获得，具有在中国境内的合法使用权和用户保护权且为全新原装货物。国家有CCC强制性规定的产品还必须符合国家 CCC 强制性认证规定。</w:t>
      </w:r>
    </w:p>
    <w:p w14:paraId="6F1FA409">
      <w:pPr>
        <w:pStyle w:val="7"/>
        <w:ind w:firstLine="480"/>
        <w:jc w:val="both"/>
        <w:rPr>
          <w:rFonts w:hint="default" w:ascii="宋体" w:hAnsi="宋体" w:eastAsia="宋体"/>
          <w:bCs/>
          <w:sz w:val="24"/>
          <w:szCs w:val="24"/>
        </w:rPr>
      </w:pPr>
      <w:r>
        <w:rPr>
          <w:rFonts w:ascii="宋体" w:hAnsi="宋体" w:eastAsia="宋体" w:cs="宋体"/>
          <w:bCs/>
          <w:sz w:val="24"/>
          <w:szCs w:val="24"/>
          <w:shd w:val="clear" w:color="auto" w:fill="FFFFFF"/>
        </w:rPr>
        <w:t>3、投标人的报价应是包含所涉及的有关项目的所有费用，包括：货物制造、包装、运输(送至采购人指定地点）、安装、实施过程中所需的一切人工、物耗、工具、装卸、保险和安装调试、验收、人员培训、检验、售后维护维修、代理服务费、外贸代理费（若有）、关税（若有）等一切相关费用。以及所有不可预见的费用。</w:t>
      </w:r>
    </w:p>
    <w:p w14:paraId="2BE4D80B">
      <w:pPr>
        <w:pStyle w:val="7"/>
        <w:ind w:firstLine="480"/>
        <w:jc w:val="both"/>
        <w:rPr>
          <w:rFonts w:hint="default" w:ascii="宋体" w:hAnsi="宋体" w:eastAsia="宋体"/>
          <w:bCs/>
          <w:sz w:val="24"/>
          <w:szCs w:val="24"/>
        </w:rPr>
      </w:pPr>
      <w:r>
        <w:rPr>
          <w:rFonts w:ascii="宋体" w:hAnsi="宋体" w:eastAsia="宋体" w:cs="宋体"/>
          <w:bCs/>
          <w:sz w:val="24"/>
          <w:szCs w:val="24"/>
          <w:shd w:val="clear" w:color="auto" w:fill="FFFFFF"/>
        </w:rPr>
        <w:t>4、投标人务必仔细阅读招标文件中所规定的，其中包括技术规格在内的所有细则。</w:t>
      </w:r>
    </w:p>
    <w:p w14:paraId="0540F1B2">
      <w:pPr>
        <w:pStyle w:val="7"/>
        <w:ind w:firstLine="482"/>
        <w:outlineLvl w:val="2"/>
        <w:rPr>
          <w:rFonts w:hint="default" w:ascii="宋体" w:hAnsi="宋体" w:eastAsia="宋体"/>
          <w:bCs/>
          <w:sz w:val="24"/>
          <w:szCs w:val="24"/>
        </w:rPr>
      </w:pPr>
      <w:r>
        <w:rPr>
          <w:rFonts w:ascii="宋体" w:hAnsi="宋体" w:eastAsia="宋体" w:cs="宋体"/>
          <w:bCs/>
          <w:sz w:val="24"/>
          <w:szCs w:val="24"/>
          <w:shd w:val="clear" w:color="auto" w:fill="FFFFFF"/>
        </w:rPr>
        <w:t>5、投标人必须保证所投货物为生产厂家的正规合格产品，并按正规销售渠道供货，投标人所提供的服务应符合国家相关法律法规。如因产品违反国家相关规定而产生的纠纷和责任，均由投标人负全责。若因此给采购人造成损失的，投标人还要负赔偿责任。</w:t>
      </w:r>
    </w:p>
    <w:p w14:paraId="7BBB35A0">
      <w:r>
        <w:tab/>
      </w:r>
      <w:r>
        <w:t>6</w:t>
      </w:r>
      <w:r>
        <w:rPr>
          <w:rFonts w:hint="eastAsia"/>
        </w:rPr>
        <w:t>、采购清单</w:t>
      </w:r>
    </w:p>
    <w:tbl>
      <w:tblPr>
        <w:tblStyle w:val="4"/>
        <w:tblW w:w="9498" w:type="dxa"/>
        <w:tblInd w:w="-14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11"/>
        <w:gridCol w:w="3165"/>
        <w:gridCol w:w="1620"/>
        <w:gridCol w:w="1701"/>
        <w:gridCol w:w="1701"/>
      </w:tblGrid>
      <w:tr w14:paraId="2E3685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BABC3F">
            <w:pPr>
              <w:pStyle w:val="7"/>
              <w:ind w:firstLine="482"/>
              <w:jc w:val="center"/>
              <w:rPr>
                <w:rFonts w:hint="default"/>
              </w:rPr>
            </w:pPr>
            <w:r>
              <w:rPr>
                <w:rFonts w:ascii="宋体" w:hAnsi="宋体" w:eastAsia="宋体" w:cs="宋体"/>
                <w:b/>
                <w:sz w:val="24"/>
              </w:rPr>
              <w:t>序号</w:t>
            </w:r>
          </w:p>
        </w:tc>
        <w:tc>
          <w:tcPr>
            <w:tcW w:w="31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0D48DE3">
            <w:pPr>
              <w:pStyle w:val="7"/>
              <w:ind w:firstLine="482"/>
              <w:jc w:val="center"/>
              <w:rPr>
                <w:rFonts w:hint="default"/>
              </w:rPr>
            </w:pPr>
            <w:r>
              <w:rPr>
                <w:rFonts w:ascii="宋体" w:hAnsi="宋体" w:eastAsia="宋体" w:cs="宋体"/>
                <w:b/>
                <w:sz w:val="24"/>
              </w:rPr>
              <w:t>货物名称</w:t>
            </w:r>
          </w:p>
        </w:tc>
        <w:tc>
          <w:tcPr>
            <w:tcW w:w="16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553FE81">
            <w:pPr>
              <w:pStyle w:val="7"/>
              <w:ind w:firstLine="482"/>
              <w:jc w:val="center"/>
              <w:rPr>
                <w:rFonts w:hint="default"/>
              </w:rPr>
            </w:pPr>
            <w:r>
              <w:rPr>
                <w:rFonts w:ascii="宋体" w:hAnsi="宋体" w:eastAsia="宋体" w:cs="宋体"/>
                <w:b/>
                <w:sz w:val="24"/>
              </w:rPr>
              <w:t>数量</w:t>
            </w:r>
          </w:p>
        </w:tc>
        <w:tc>
          <w:tcPr>
            <w:tcW w:w="17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5767D1">
            <w:pPr>
              <w:pStyle w:val="7"/>
              <w:ind w:firstLine="482"/>
              <w:jc w:val="center"/>
              <w:rPr>
                <w:rFonts w:hint="default"/>
              </w:rPr>
            </w:pPr>
            <w:r>
              <w:rPr>
                <w:rFonts w:ascii="宋体" w:hAnsi="宋体" w:eastAsia="宋体" w:cs="宋体"/>
                <w:b/>
                <w:sz w:val="24"/>
              </w:rPr>
              <w:t>计量单位</w:t>
            </w:r>
          </w:p>
        </w:tc>
        <w:tc>
          <w:tcPr>
            <w:tcW w:w="1701" w:type="dxa"/>
            <w:tcBorders>
              <w:top w:val="single" w:color="000000" w:sz="4" w:space="0"/>
              <w:left w:val="single" w:color="000000" w:sz="4" w:space="0"/>
              <w:bottom w:val="single" w:color="000000" w:sz="4" w:space="0"/>
              <w:right w:val="single" w:color="000000" w:sz="4" w:space="0"/>
            </w:tcBorders>
          </w:tcPr>
          <w:p w14:paraId="71DB341D">
            <w:pPr>
              <w:pStyle w:val="7"/>
              <w:ind w:firstLine="482"/>
              <w:jc w:val="center"/>
              <w:rPr>
                <w:rFonts w:ascii="宋体" w:hAnsi="宋体" w:eastAsia="宋体" w:cs="宋体"/>
                <w:b/>
                <w:sz w:val="24"/>
              </w:rPr>
            </w:pPr>
            <w:r>
              <w:rPr>
                <w:rFonts w:ascii="宋体" w:hAnsi="宋体" w:eastAsia="宋体" w:cs="宋体"/>
                <w:b/>
                <w:sz w:val="24"/>
              </w:rPr>
              <w:t>推荐品牌</w:t>
            </w:r>
          </w:p>
        </w:tc>
      </w:tr>
      <w:tr w14:paraId="14CCEA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31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981D67">
            <w:pPr>
              <w:pStyle w:val="7"/>
              <w:ind w:firstLine="480"/>
              <w:jc w:val="center"/>
              <w:rPr>
                <w:rFonts w:hint="default"/>
                <w:lang w:eastAsia="zh-CN"/>
              </w:rPr>
            </w:pPr>
            <w:r>
              <w:rPr>
                <w:lang w:eastAsia="zh-CN"/>
              </w:rPr>
              <w:t>1</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ACA466">
            <w:pPr>
              <w:pStyle w:val="7"/>
              <w:ind w:firstLine="480"/>
              <w:jc w:val="center"/>
              <w:rPr>
                <w:rFonts w:hint="default"/>
              </w:rPr>
            </w:pPr>
            <w:r>
              <w:rPr>
                <w:rFonts w:ascii="宋体" w:hAnsi="宋体" w:eastAsia="宋体" w:cs="宋体"/>
                <w:sz w:val="24"/>
                <w:shd w:val="clear" w:color="auto" w:fill="FFFFFF"/>
              </w:rPr>
              <w:t>国产化信创服务器</w:t>
            </w:r>
          </w:p>
        </w:tc>
        <w:tc>
          <w:tcPr>
            <w:tcW w:w="162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2BCECD">
            <w:pPr>
              <w:pStyle w:val="7"/>
              <w:ind w:firstLine="480"/>
              <w:jc w:val="center"/>
              <w:rPr>
                <w:rFonts w:hint="default"/>
                <w:lang w:eastAsia="zh-CN"/>
              </w:rPr>
            </w:pPr>
            <w:r>
              <w:rPr>
                <w:lang w:eastAsia="zh-CN"/>
              </w:rPr>
              <w:t>3</w:t>
            </w:r>
          </w:p>
        </w:tc>
        <w:tc>
          <w:tcPr>
            <w:tcW w:w="17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6A937C2">
            <w:pPr>
              <w:pStyle w:val="7"/>
              <w:ind w:firstLine="480"/>
              <w:jc w:val="center"/>
              <w:rPr>
                <w:rFonts w:hint="default"/>
              </w:rPr>
            </w:pPr>
            <w:r>
              <w:t>台</w:t>
            </w:r>
          </w:p>
        </w:tc>
        <w:tc>
          <w:tcPr>
            <w:tcW w:w="1701" w:type="dxa"/>
            <w:tcBorders>
              <w:top w:val="nil"/>
              <w:left w:val="single" w:color="000000" w:sz="4" w:space="0"/>
              <w:bottom w:val="single" w:color="000000" w:sz="4" w:space="0"/>
              <w:right w:val="single" w:color="000000" w:sz="4" w:space="0"/>
            </w:tcBorders>
          </w:tcPr>
          <w:p w14:paraId="07682E9E">
            <w:pPr>
              <w:pStyle w:val="7"/>
              <w:ind w:firstLine="178"/>
              <w:jc w:val="center"/>
            </w:pPr>
            <w:r>
              <w:t>联想、曙光、浪潮</w:t>
            </w:r>
          </w:p>
        </w:tc>
      </w:tr>
      <w:tr w14:paraId="0C28D3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1" w:type="dxa"/>
            <w:tcBorders>
              <w:top w:val="nil"/>
              <w:left w:val="single" w:color="000000" w:sz="4" w:space="0"/>
              <w:bottom w:val="single" w:color="auto" w:sz="4" w:space="0"/>
              <w:right w:val="single" w:color="000000" w:sz="4" w:space="0"/>
            </w:tcBorders>
            <w:tcMar>
              <w:top w:w="0" w:type="dxa"/>
              <w:left w:w="105" w:type="dxa"/>
              <w:bottom w:w="0" w:type="dxa"/>
              <w:right w:w="105" w:type="dxa"/>
            </w:tcMar>
          </w:tcPr>
          <w:p w14:paraId="144E7A8A">
            <w:pPr>
              <w:pStyle w:val="7"/>
              <w:ind w:firstLine="480"/>
              <w:jc w:val="center"/>
              <w:rPr>
                <w:rFonts w:hint="default"/>
                <w:lang w:eastAsia="zh-CN"/>
              </w:rPr>
            </w:pPr>
            <w:r>
              <w:rPr>
                <w:lang w:eastAsia="zh-CN"/>
              </w:rPr>
              <w:t>2</w:t>
            </w:r>
          </w:p>
        </w:tc>
        <w:tc>
          <w:tcPr>
            <w:tcW w:w="3165" w:type="dxa"/>
            <w:tcBorders>
              <w:top w:val="nil"/>
              <w:left w:val="single" w:color="000000" w:sz="4" w:space="0"/>
              <w:bottom w:val="single" w:color="auto" w:sz="4" w:space="0"/>
              <w:right w:val="single" w:color="000000" w:sz="4" w:space="0"/>
            </w:tcBorders>
            <w:tcMar>
              <w:top w:w="0" w:type="dxa"/>
              <w:left w:w="105" w:type="dxa"/>
              <w:bottom w:w="0" w:type="dxa"/>
              <w:right w:w="105" w:type="dxa"/>
            </w:tcMar>
          </w:tcPr>
          <w:p w14:paraId="21BFC1C6">
            <w:pPr>
              <w:pStyle w:val="7"/>
              <w:ind w:firstLine="480"/>
              <w:jc w:val="center"/>
              <w:rPr>
                <w:rFonts w:hint="default"/>
              </w:rPr>
            </w:pPr>
            <w:bookmarkStart w:id="0" w:name="_Hlk200100366"/>
            <w:r>
              <w:rPr>
                <w:rFonts w:ascii="宋体" w:hAnsi="宋体" w:eastAsia="宋体" w:cs="宋体"/>
                <w:sz w:val="24"/>
                <w:shd w:val="clear" w:color="auto" w:fill="FFFFFF"/>
              </w:rPr>
              <w:t>国产化信创超融合管理软件系统</w:t>
            </w:r>
            <w:bookmarkEnd w:id="0"/>
          </w:p>
        </w:tc>
        <w:tc>
          <w:tcPr>
            <w:tcW w:w="1620" w:type="dxa"/>
            <w:tcBorders>
              <w:top w:val="nil"/>
              <w:left w:val="single" w:color="000000" w:sz="4" w:space="0"/>
              <w:bottom w:val="single" w:color="auto" w:sz="4" w:space="0"/>
              <w:right w:val="single" w:color="000000" w:sz="4" w:space="0"/>
            </w:tcBorders>
            <w:tcMar>
              <w:top w:w="0" w:type="dxa"/>
              <w:left w:w="105" w:type="dxa"/>
              <w:bottom w:w="0" w:type="dxa"/>
              <w:right w:w="105" w:type="dxa"/>
            </w:tcMar>
          </w:tcPr>
          <w:p w14:paraId="547980E6">
            <w:pPr>
              <w:pStyle w:val="7"/>
              <w:ind w:firstLine="480"/>
              <w:jc w:val="center"/>
              <w:rPr>
                <w:rFonts w:hint="default"/>
              </w:rPr>
            </w:pPr>
            <w:r>
              <w:rPr>
                <w:rFonts w:ascii="宋体" w:hAnsi="宋体" w:eastAsia="宋体" w:cs="宋体"/>
                <w:sz w:val="24"/>
              </w:rPr>
              <w:t>1</w:t>
            </w:r>
          </w:p>
        </w:tc>
        <w:tc>
          <w:tcPr>
            <w:tcW w:w="1701" w:type="dxa"/>
            <w:tcBorders>
              <w:top w:val="nil"/>
              <w:left w:val="single" w:color="000000" w:sz="4" w:space="0"/>
              <w:bottom w:val="single" w:color="auto" w:sz="4" w:space="0"/>
              <w:right w:val="single" w:color="000000" w:sz="4" w:space="0"/>
            </w:tcBorders>
            <w:tcMar>
              <w:top w:w="0" w:type="dxa"/>
              <w:left w:w="105" w:type="dxa"/>
              <w:bottom w:w="0" w:type="dxa"/>
              <w:right w:w="105" w:type="dxa"/>
            </w:tcMar>
          </w:tcPr>
          <w:p w14:paraId="5452EBB1">
            <w:pPr>
              <w:pStyle w:val="7"/>
              <w:ind w:firstLine="480"/>
              <w:jc w:val="center"/>
              <w:rPr>
                <w:rFonts w:hint="default"/>
              </w:rPr>
            </w:pPr>
            <w:r>
              <w:rPr>
                <w:rFonts w:ascii="宋体" w:hAnsi="宋体" w:eastAsia="宋体" w:cs="宋体"/>
                <w:sz w:val="24"/>
              </w:rPr>
              <w:t>套</w:t>
            </w:r>
          </w:p>
        </w:tc>
        <w:tc>
          <w:tcPr>
            <w:tcW w:w="1701" w:type="dxa"/>
            <w:tcBorders>
              <w:top w:val="nil"/>
              <w:left w:val="single" w:color="000000" w:sz="4" w:space="0"/>
              <w:bottom w:val="single" w:color="auto" w:sz="4" w:space="0"/>
              <w:right w:val="single" w:color="000000" w:sz="4" w:space="0"/>
            </w:tcBorders>
          </w:tcPr>
          <w:p w14:paraId="6C97F354">
            <w:pPr>
              <w:pStyle w:val="7"/>
              <w:ind w:firstLine="480"/>
              <w:jc w:val="center"/>
              <w:rPr>
                <w:rFonts w:ascii="宋体" w:hAnsi="宋体" w:eastAsia="宋体" w:cs="宋体"/>
                <w:sz w:val="24"/>
              </w:rPr>
            </w:pPr>
          </w:p>
        </w:tc>
      </w:tr>
      <w:tr w14:paraId="7C18D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1"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tcPr>
          <w:p w14:paraId="2E6DCC68">
            <w:pPr>
              <w:pStyle w:val="7"/>
              <w:ind w:firstLine="480"/>
              <w:jc w:val="center"/>
              <w:rPr>
                <w:rFonts w:hint="default"/>
                <w:lang w:eastAsia="zh-CN"/>
              </w:rPr>
            </w:pPr>
            <w:r>
              <w:rPr>
                <w:lang w:eastAsia="zh-CN"/>
              </w:rPr>
              <w:t>3</w:t>
            </w:r>
          </w:p>
        </w:tc>
        <w:tc>
          <w:tcPr>
            <w:tcW w:w="3165"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tcPr>
          <w:p w14:paraId="454787F3">
            <w:pPr>
              <w:pStyle w:val="7"/>
              <w:ind w:firstLine="480"/>
              <w:jc w:val="center"/>
              <w:rPr>
                <w:rFonts w:hint="default" w:ascii="宋体" w:hAnsi="宋体" w:eastAsia="宋体" w:cs="宋体"/>
                <w:sz w:val="24"/>
                <w:shd w:val="clear" w:color="auto" w:fill="FFFFFF"/>
              </w:rPr>
            </w:pPr>
            <w:r>
              <w:rPr>
                <w:rFonts w:ascii="宋体" w:hAnsi="宋体" w:eastAsia="宋体" w:cs="宋体"/>
                <w:sz w:val="24"/>
                <w:shd w:val="clear" w:color="auto" w:fill="FFFFFF"/>
              </w:rPr>
              <w:t>万兆网络交换机</w:t>
            </w:r>
          </w:p>
        </w:tc>
        <w:tc>
          <w:tcPr>
            <w:tcW w:w="1620"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tcPr>
          <w:p w14:paraId="64374AC5">
            <w:pPr>
              <w:pStyle w:val="7"/>
              <w:ind w:firstLine="480"/>
              <w:jc w:val="center"/>
              <w:rPr>
                <w:rFonts w:hint="default" w:ascii="宋体" w:hAnsi="宋体" w:eastAsia="宋体" w:cs="宋体"/>
                <w:sz w:val="24"/>
                <w:lang w:eastAsia="zh-CN"/>
              </w:rPr>
            </w:pPr>
            <w:r>
              <w:rPr>
                <w:rFonts w:ascii="宋体" w:hAnsi="宋体" w:eastAsia="宋体" w:cs="宋体"/>
                <w:sz w:val="24"/>
                <w:lang w:eastAsia="zh-CN"/>
              </w:rPr>
              <w:t>2</w:t>
            </w:r>
          </w:p>
        </w:tc>
        <w:tc>
          <w:tcPr>
            <w:tcW w:w="1701"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tcPr>
          <w:p w14:paraId="383C4B12">
            <w:pPr>
              <w:pStyle w:val="7"/>
              <w:ind w:firstLine="480"/>
              <w:jc w:val="center"/>
              <w:rPr>
                <w:rFonts w:hint="default" w:ascii="宋体" w:hAnsi="宋体" w:eastAsia="宋体" w:cs="宋体"/>
                <w:sz w:val="24"/>
              </w:rPr>
            </w:pPr>
            <w:r>
              <w:rPr>
                <w:rFonts w:ascii="宋体" w:hAnsi="宋体" w:eastAsia="宋体" w:cs="宋体"/>
                <w:sz w:val="24"/>
              </w:rPr>
              <w:t>台</w:t>
            </w:r>
          </w:p>
        </w:tc>
        <w:tc>
          <w:tcPr>
            <w:tcW w:w="1701" w:type="dxa"/>
            <w:tcBorders>
              <w:top w:val="single" w:color="auto" w:sz="4" w:space="0"/>
              <w:left w:val="single" w:color="000000" w:sz="4" w:space="0"/>
              <w:bottom w:val="single" w:color="000000" w:sz="4" w:space="0"/>
              <w:right w:val="single" w:color="000000" w:sz="4" w:space="0"/>
            </w:tcBorders>
          </w:tcPr>
          <w:p w14:paraId="7B1CB3AA">
            <w:pPr>
              <w:pStyle w:val="7"/>
              <w:ind w:firstLine="480"/>
              <w:jc w:val="center"/>
              <w:rPr>
                <w:rFonts w:ascii="宋体" w:hAnsi="宋体" w:eastAsia="宋体" w:cs="宋体"/>
                <w:sz w:val="24"/>
              </w:rPr>
            </w:pPr>
          </w:p>
        </w:tc>
      </w:tr>
    </w:tbl>
    <w:p w14:paraId="4AFA04F9">
      <w:pPr>
        <w:rPr>
          <w:rFonts w:hint="eastAsia"/>
        </w:rPr>
      </w:pPr>
      <w:r>
        <w:rPr>
          <w:rFonts w:hint="eastAsia"/>
        </w:rPr>
        <w:t>二、</w:t>
      </w:r>
    </w:p>
    <w:p w14:paraId="370E1268">
      <w:r>
        <w:rPr>
          <w:rFonts w:hint="eastAsia"/>
        </w:rPr>
        <w:t>1、国产化信创服务器技术规格要求：</w:t>
      </w:r>
    </w:p>
    <w:tbl>
      <w:tblPr>
        <w:tblStyle w:val="4"/>
        <w:tblW w:w="9209" w:type="dxa"/>
        <w:jc w:val="center"/>
        <w:tblLayout w:type="autofit"/>
        <w:tblCellMar>
          <w:top w:w="0" w:type="dxa"/>
          <w:left w:w="108" w:type="dxa"/>
          <w:bottom w:w="0" w:type="dxa"/>
          <w:right w:w="108" w:type="dxa"/>
        </w:tblCellMar>
      </w:tblPr>
      <w:tblGrid>
        <w:gridCol w:w="1271"/>
        <w:gridCol w:w="7938"/>
      </w:tblGrid>
      <w:tr w14:paraId="4E7D0C85">
        <w:tblPrEx>
          <w:tblCellMar>
            <w:top w:w="0" w:type="dxa"/>
            <w:left w:w="108" w:type="dxa"/>
            <w:bottom w:w="0" w:type="dxa"/>
            <w:right w:w="108"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3DBC52EB">
            <w:pPr>
              <w:widowControl/>
              <w:adjustRightInd w:val="0"/>
              <w:snapToGrid w:val="0"/>
              <w:jc w:val="center"/>
              <w:rPr>
                <w:rFonts w:ascii="宋体" w:hAnsi="宋体" w:cs="宋体"/>
                <w:kern w:val="0"/>
              </w:rPr>
            </w:pPr>
            <w:r>
              <w:rPr>
                <w:rFonts w:hint="eastAsia" w:ascii="宋体" w:hAnsi="宋体" w:cs="宋体"/>
                <w:kern w:val="0"/>
              </w:rPr>
              <w:t>技术指标</w:t>
            </w:r>
          </w:p>
        </w:tc>
        <w:tc>
          <w:tcPr>
            <w:tcW w:w="7938" w:type="dxa"/>
            <w:tcBorders>
              <w:top w:val="single" w:color="auto" w:sz="4" w:space="0"/>
              <w:left w:val="nil"/>
              <w:bottom w:val="single" w:color="auto" w:sz="4" w:space="0"/>
              <w:right w:val="single" w:color="auto" w:sz="4" w:space="0"/>
            </w:tcBorders>
            <w:shd w:val="clear" w:color="auto" w:fill="auto"/>
            <w:vAlign w:val="center"/>
          </w:tcPr>
          <w:p w14:paraId="7CC5E206">
            <w:pPr>
              <w:widowControl/>
              <w:adjustRightInd w:val="0"/>
              <w:snapToGrid w:val="0"/>
              <w:jc w:val="center"/>
              <w:rPr>
                <w:rFonts w:ascii="宋体" w:hAnsi="宋体" w:cs="宋体"/>
                <w:kern w:val="0"/>
              </w:rPr>
            </w:pPr>
            <w:r>
              <w:rPr>
                <w:rFonts w:hint="eastAsia" w:ascii="宋体" w:hAnsi="宋体" w:cs="宋体"/>
                <w:kern w:val="0"/>
              </w:rPr>
              <w:t>招标参数</w:t>
            </w:r>
          </w:p>
        </w:tc>
      </w:tr>
      <w:tr w14:paraId="7441F840">
        <w:tblPrEx>
          <w:tblCellMar>
            <w:top w:w="0" w:type="dxa"/>
            <w:left w:w="108" w:type="dxa"/>
            <w:bottom w:w="0" w:type="dxa"/>
            <w:right w:w="108" w:type="dxa"/>
          </w:tblCellMar>
        </w:tblPrEx>
        <w:trPr>
          <w:trHeight w:val="3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2E562C66">
            <w:pPr>
              <w:widowControl/>
              <w:adjustRightInd w:val="0"/>
              <w:snapToGrid w:val="0"/>
              <w:jc w:val="center"/>
              <w:rPr>
                <w:rFonts w:ascii="宋体" w:hAnsi="宋体" w:cs="宋体"/>
                <w:kern w:val="0"/>
              </w:rPr>
            </w:pPr>
            <w:r>
              <w:rPr>
                <w:rFonts w:hint="eastAsia" w:ascii="宋体" w:hAnsi="宋体" w:cs="宋体"/>
                <w:kern w:val="0"/>
              </w:rPr>
              <w:t>品牌</w:t>
            </w:r>
          </w:p>
        </w:tc>
        <w:tc>
          <w:tcPr>
            <w:tcW w:w="7938" w:type="dxa"/>
            <w:tcBorders>
              <w:top w:val="nil"/>
              <w:left w:val="nil"/>
              <w:bottom w:val="single" w:color="auto" w:sz="4" w:space="0"/>
              <w:right w:val="single" w:color="auto" w:sz="4" w:space="0"/>
            </w:tcBorders>
            <w:shd w:val="clear" w:color="000000" w:fill="FFFFFF"/>
            <w:vAlign w:val="center"/>
          </w:tcPr>
          <w:p w14:paraId="3AF215FA">
            <w:pPr>
              <w:widowControl/>
              <w:adjustRightInd w:val="0"/>
              <w:snapToGrid w:val="0"/>
              <w:jc w:val="left"/>
              <w:rPr>
                <w:rFonts w:ascii="宋体" w:hAnsi="宋体" w:cs="宋体"/>
                <w:kern w:val="0"/>
              </w:rPr>
            </w:pPr>
            <w:r>
              <w:rPr>
                <w:rFonts w:hint="eastAsia" w:ascii="宋体" w:hAnsi="宋体" w:cs="宋体"/>
                <w:kern w:val="0"/>
              </w:rPr>
              <w:t>非OEM产品，自主研发，国产品牌</w:t>
            </w:r>
          </w:p>
        </w:tc>
      </w:tr>
      <w:tr w14:paraId="17DC74ED">
        <w:tblPrEx>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21DDA6B0">
            <w:pPr>
              <w:widowControl/>
              <w:adjustRightInd w:val="0"/>
              <w:snapToGrid w:val="0"/>
              <w:jc w:val="center"/>
              <w:rPr>
                <w:rFonts w:ascii="宋体" w:hAnsi="宋体" w:cs="宋体"/>
                <w:kern w:val="0"/>
              </w:rPr>
            </w:pPr>
            <w:r>
              <w:rPr>
                <w:rFonts w:hint="eastAsia" w:ascii="宋体" w:hAnsi="宋体" w:cs="宋体"/>
              </w:rPr>
              <w:t>▲</w:t>
            </w:r>
            <w:r>
              <w:rPr>
                <w:rFonts w:hint="eastAsia" w:ascii="宋体" w:hAnsi="宋体" w:cs="宋体"/>
                <w:kern w:val="0"/>
              </w:rPr>
              <w:t>处理器</w:t>
            </w:r>
          </w:p>
        </w:tc>
        <w:tc>
          <w:tcPr>
            <w:tcW w:w="7938" w:type="dxa"/>
            <w:tcBorders>
              <w:top w:val="nil"/>
              <w:left w:val="nil"/>
              <w:bottom w:val="single" w:color="auto" w:sz="4" w:space="0"/>
              <w:right w:val="single" w:color="auto" w:sz="4" w:space="0"/>
            </w:tcBorders>
            <w:shd w:val="clear" w:color="000000" w:fill="FFFFFF"/>
            <w:vAlign w:val="center"/>
          </w:tcPr>
          <w:p w14:paraId="4F507618">
            <w:pPr>
              <w:widowControl/>
              <w:adjustRightInd w:val="0"/>
              <w:snapToGrid w:val="0"/>
              <w:jc w:val="left"/>
              <w:rPr>
                <w:rFonts w:ascii="宋体" w:hAnsi="宋体" w:cs="宋体"/>
                <w:kern w:val="0"/>
              </w:rPr>
            </w:pPr>
            <w:r>
              <w:rPr>
                <w:rFonts w:hint="eastAsia" w:ascii="宋体" w:hAnsi="宋体" w:cs="宋体"/>
                <w:kern w:val="0"/>
              </w:rPr>
              <w:t>配置≥2颗海光C86-4G处理器，每颗CPU核心数≥32核，每颗CPU主频≥2.5GHz，每颗CPU三级缓存≥64MB，支持SM3/SM4国密指令</w:t>
            </w:r>
          </w:p>
          <w:p w14:paraId="5CCF4D7C">
            <w:pPr>
              <w:widowControl/>
              <w:adjustRightInd w:val="0"/>
              <w:snapToGrid w:val="0"/>
              <w:jc w:val="left"/>
              <w:rPr>
                <w:rFonts w:ascii="宋体" w:hAnsi="宋体" w:cs="宋体"/>
                <w:kern w:val="0"/>
              </w:rPr>
            </w:pPr>
            <w:r>
              <w:rPr>
                <w:rFonts w:hint="eastAsia" w:ascii="宋体" w:hAnsi="宋体" w:cs="宋体"/>
                <w:kern w:val="0"/>
              </w:rPr>
              <w:t xml:space="preserve">投标服务器所配备的CPU(中央处理器)内置核心可信度量根(CRTM)，可用于构建信任链以实现从硬件启动到系统运行整个过程的安全性和完整性。提供投标服务器所配备的CPU(中央处理器)具有上述密码技术特性的证明材料(加盖芯片原厂公章) </w:t>
            </w:r>
          </w:p>
        </w:tc>
      </w:tr>
      <w:tr w14:paraId="009C1E65">
        <w:tblPrEx>
          <w:tblCellMar>
            <w:top w:w="0" w:type="dxa"/>
            <w:left w:w="108" w:type="dxa"/>
            <w:bottom w:w="0" w:type="dxa"/>
            <w:right w:w="108" w:type="dxa"/>
          </w:tblCellMar>
        </w:tblPrEx>
        <w:trPr>
          <w:trHeight w:val="3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7F7E6AA1">
            <w:pPr>
              <w:widowControl/>
              <w:adjustRightInd w:val="0"/>
              <w:snapToGrid w:val="0"/>
              <w:jc w:val="center"/>
              <w:rPr>
                <w:rFonts w:ascii="宋体" w:hAnsi="宋体" w:cs="宋体"/>
                <w:kern w:val="0"/>
              </w:rPr>
            </w:pPr>
            <w:r>
              <w:rPr>
                <w:rFonts w:hint="eastAsia" w:ascii="宋体" w:hAnsi="宋体" w:cs="宋体"/>
                <w:kern w:val="0"/>
              </w:rPr>
              <w:t>★内存</w:t>
            </w:r>
          </w:p>
        </w:tc>
        <w:tc>
          <w:tcPr>
            <w:tcW w:w="7938" w:type="dxa"/>
            <w:tcBorders>
              <w:top w:val="nil"/>
              <w:left w:val="nil"/>
              <w:bottom w:val="single" w:color="auto" w:sz="4" w:space="0"/>
              <w:right w:val="single" w:color="auto" w:sz="4" w:space="0"/>
            </w:tcBorders>
            <w:shd w:val="clear" w:color="auto" w:fill="auto"/>
            <w:vAlign w:val="center"/>
          </w:tcPr>
          <w:p w14:paraId="2FCDAE15">
            <w:pPr>
              <w:widowControl/>
              <w:adjustRightInd w:val="0"/>
              <w:snapToGrid w:val="0"/>
              <w:jc w:val="left"/>
              <w:rPr>
                <w:rFonts w:ascii="宋体" w:hAnsi="宋体" w:cs="宋体"/>
                <w:kern w:val="0"/>
              </w:rPr>
            </w:pPr>
            <w:r>
              <w:rPr>
                <w:rFonts w:hint="eastAsia" w:ascii="宋体" w:hAnsi="宋体" w:cs="宋体"/>
                <w:kern w:val="0"/>
              </w:rPr>
              <w:t>配置≥256GB DDR5  RDIMM内存，支持≥16个内存插槽</w:t>
            </w:r>
          </w:p>
        </w:tc>
      </w:tr>
      <w:tr w14:paraId="2C95480C">
        <w:tblPrEx>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0046B61A">
            <w:pPr>
              <w:widowControl/>
              <w:adjustRightInd w:val="0"/>
              <w:snapToGrid w:val="0"/>
              <w:jc w:val="center"/>
              <w:rPr>
                <w:rFonts w:ascii="宋体" w:hAnsi="宋体" w:cs="宋体"/>
                <w:kern w:val="0"/>
              </w:rPr>
            </w:pPr>
            <w:r>
              <w:rPr>
                <w:rFonts w:hint="eastAsia" w:ascii="宋体" w:hAnsi="宋体" w:cs="宋体"/>
                <w:kern w:val="0"/>
              </w:rPr>
              <w:t>网络</w:t>
            </w:r>
          </w:p>
        </w:tc>
        <w:tc>
          <w:tcPr>
            <w:tcW w:w="7938" w:type="dxa"/>
            <w:tcBorders>
              <w:top w:val="nil"/>
              <w:left w:val="nil"/>
              <w:bottom w:val="single" w:color="auto" w:sz="4" w:space="0"/>
              <w:right w:val="single" w:color="auto" w:sz="4" w:space="0"/>
            </w:tcBorders>
            <w:shd w:val="clear" w:color="auto" w:fill="auto"/>
            <w:vAlign w:val="center"/>
          </w:tcPr>
          <w:p w14:paraId="33C4B9C5">
            <w:pPr>
              <w:widowControl/>
              <w:adjustRightInd w:val="0"/>
              <w:snapToGrid w:val="0"/>
              <w:jc w:val="left"/>
              <w:rPr>
                <w:rFonts w:ascii="宋体" w:hAnsi="宋体" w:cs="宋体"/>
                <w:kern w:val="0"/>
              </w:rPr>
            </w:pPr>
            <w:r>
              <w:rPr>
                <w:rFonts w:hint="eastAsia" w:ascii="宋体" w:hAnsi="宋体" w:cs="宋体"/>
                <w:kern w:val="0"/>
              </w:rPr>
              <w:t>支持PCIe标准网卡，支持1G/10G/25G/40G/100G等多种规格</w:t>
            </w:r>
            <w:r>
              <w:rPr>
                <w:rFonts w:hint="eastAsia" w:ascii="宋体" w:hAnsi="宋体" w:cs="宋体"/>
                <w:kern w:val="0"/>
              </w:rPr>
              <w:br w:type="textWrapping"/>
            </w:r>
            <w:r>
              <w:rPr>
                <w:rFonts w:hint="eastAsia" w:ascii="宋体" w:hAnsi="宋体" w:cs="宋体"/>
                <w:kern w:val="0"/>
              </w:rPr>
              <w:t>支持OCP 3.0网卡，支持NCSI、网络唤醒，网络冗余，负载均衡等网络高级特性</w:t>
            </w:r>
          </w:p>
          <w:p w14:paraId="1D1793FE">
            <w:pPr>
              <w:widowControl/>
              <w:adjustRightInd w:val="0"/>
              <w:snapToGrid w:val="0"/>
              <w:jc w:val="left"/>
              <w:rPr>
                <w:rFonts w:ascii="宋体" w:hAnsi="宋体" w:cs="宋体"/>
                <w:kern w:val="0"/>
              </w:rPr>
            </w:pPr>
            <w:r>
              <w:rPr>
                <w:rFonts w:hint="eastAsia" w:ascii="宋体" w:hAnsi="宋体" w:cs="宋体"/>
                <w:kern w:val="0"/>
              </w:rPr>
              <w:t>实际配置:2块双口10G模块光纤网卡（每张网卡含2个SFP+多模光模块</w:t>
            </w:r>
            <w:r>
              <w:rPr>
                <w:rFonts w:ascii="宋体" w:hAnsi="宋体" w:cs="宋体"/>
                <w:kern w:val="0"/>
              </w:rPr>
              <w:t>）</w:t>
            </w:r>
            <w:r>
              <w:rPr>
                <w:rFonts w:hint="eastAsia" w:ascii="宋体" w:hAnsi="宋体" w:cs="宋体"/>
                <w:kern w:val="0"/>
              </w:rPr>
              <w:t>/4口千兆网卡</w:t>
            </w:r>
          </w:p>
        </w:tc>
      </w:tr>
      <w:tr w14:paraId="044B90A3">
        <w:tblPrEx>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75F9C6DA">
            <w:pPr>
              <w:widowControl/>
              <w:adjustRightInd w:val="0"/>
              <w:snapToGrid w:val="0"/>
              <w:jc w:val="center"/>
              <w:rPr>
                <w:rFonts w:ascii="宋体" w:hAnsi="宋体" w:cs="宋体"/>
                <w:kern w:val="0"/>
              </w:rPr>
            </w:pPr>
            <w:r>
              <w:rPr>
                <w:rFonts w:hint="eastAsia" w:ascii="宋体" w:hAnsi="宋体" w:cs="宋体"/>
                <w:kern w:val="0"/>
              </w:rPr>
              <w:t>★PCIe扩展</w:t>
            </w:r>
          </w:p>
        </w:tc>
        <w:tc>
          <w:tcPr>
            <w:tcW w:w="7938" w:type="dxa"/>
            <w:tcBorders>
              <w:top w:val="nil"/>
              <w:left w:val="nil"/>
              <w:bottom w:val="single" w:color="auto" w:sz="4" w:space="0"/>
              <w:right w:val="single" w:color="auto" w:sz="4" w:space="0"/>
            </w:tcBorders>
            <w:shd w:val="clear" w:color="auto" w:fill="auto"/>
            <w:vAlign w:val="center"/>
          </w:tcPr>
          <w:p w14:paraId="0A4E98E0">
            <w:pPr>
              <w:widowControl/>
              <w:adjustRightInd w:val="0"/>
              <w:snapToGrid w:val="0"/>
              <w:jc w:val="left"/>
              <w:rPr>
                <w:rFonts w:ascii="宋体" w:hAnsi="宋体" w:cs="宋体"/>
                <w:kern w:val="0"/>
              </w:rPr>
            </w:pPr>
            <w:r>
              <w:rPr>
                <w:rFonts w:hint="eastAsia" w:ascii="宋体" w:hAnsi="宋体" w:cs="宋体"/>
                <w:kern w:val="0"/>
              </w:rPr>
              <w:t>最大支持6个PCIe 5.0 插槽</w:t>
            </w:r>
            <w:r>
              <w:rPr>
                <w:rFonts w:hint="eastAsia" w:ascii="宋体" w:hAnsi="宋体" w:cs="宋体"/>
                <w:kern w:val="0"/>
              </w:rPr>
              <w:br w:type="textWrapping"/>
            </w:r>
            <w:r>
              <w:rPr>
                <w:rFonts w:hint="eastAsia" w:ascii="宋体" w:hAnsi="宋体" w:cs="宋体"/>
                <w:kern w:val="0"/>
              </w:rPr>
              <w:t>支持1个OCP3.0槽位</w:t>
            </w:r>
          </w:p>
        </w:tc>
      </w:tr>
      <w:tr w14:paraId="4F4F0C17">
        <w:tblPrEx>
          <w:tblCellMar>
            <w:top w:w="0" w:type="dxa"/>
            <w:left w:w="108" w:type="dxa"/>
            <w:bottom w:w="0" w:type="dxa"/>
            <w:right w:w="108" w:type="dxa"/>
          </w:tblCellMar>
        </w:tblPrEx>
        <w:trPr>
          <w:trHeight w:val="9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61F866B9">
            <w:pPr>
              <w:widowControl/>
              <w:adjustRightInd w:val="0"/>
              <w:snapToGrid w:val="0"/>
              <w:jc w:val="center"/>
              <w:rPr>
                <w:rFonts w:ascii="宋体" w:hAnsi="宋体" w:cs="宋体"/>
                <w:kern w:val="0"/>
              </w:rPr>
            </w:pPr>
            <w:r>
              <w:rPr>
                <w:rFonts w:hint="eastAsia" w:ascii="宋体" w:hAnsi="宋体" w:cs="宋体"/>
                <w:kern w:val="0"/>
              </w:rPr>
              <w:t>存储</w:t>
            </w:r>
          </w:p>
        </w:tc>
        <w:tc>
          <w:tcPr>
            <w:tcW w:w="7938" w:type="dxa"/>
            <w:tcBorders>
              <w:top w:val="nil"/>
              <w:left w:val="nil"/>
              <w:bottom w:val="single" w:color="auto" w:sz="4" w:space="0"/>
              <w:right w:val="single" w:color="auto" w:sz="4" w:space="0"/>
            </w:tcBorders>
            <w:shd w:val="clear" w:color="000000" w:fill="FFFFFF"/>
            <w:vAlign w:val="center"/>
          </w:tcPr>
          <w:p w14:paraId="1189B92D">
            <w:pPr>
              <w:widowControl/>
              <w:adjustRightInd w:val="0"/>
              <w:snapToGrid w:val="0"/>
              <w:jc w:val="left"/>
              <w:rPr>
                <w:rFonts w:ascii="宋体" w:hAnsi="宋体" w:cs="宋体"/>
                <w:kern w:val="0"/>
              </w:rPr>
            </w:pPr>
            <w:r>
              <w:rPr>
                <w:rFonts w:hint="eastAsia" w:ascii="宋体" w:hAnsi="宋体" w:cs="宋体"/>
                <w:kern w:val="0"/>
              </w:rPr>
              <w:t>前置：最多12个3.5寸SAS/SATA热插拔硬盘，最大支持8个Nvme硬盘</w:t>
            </w:r>
            <w:r>
              <w:rPr>
                <w:rFonts w:hint="eastAsia" w:ascii="宋体" w:hAnsi="宋体" w:cs="宋体"/>
                <w:kern w:val="0"/>
              </w:rPr>
              <w:br w:type="textWrapping"/>
            </w:r>
            <w:r>
              <w:rPr>
                <w:rFonts w:hint="eastAsia" w:ascii="宋体" w:hAnsi="宋体" w:cs="宋体"/>
                <w:kern w:val="0"/>
              </w:rPr>
              <w:t xml:space="preserve">后置：2个2.5寸SAS/SATA硬盘 </w:t>
            </w:r>
            <w:r>
              <w:rPr>
                <w:rFonts w:hint="eastAsia" w:ascii="宋体" w:hAnsi="宋体" w:cs="宋体"/>
                <w:kern w:val="0"/>
              </w:rPr>
              <w:br w:type="textWrapping"/>
            </w:r>
            <w:r>
              <w:rPr>
                <w:rFonts w:hint="eastAsia" w:ascii="宋体" w:hAnsi="宋体" w:cs="宋体"/>
                <w:kern w:val="0"/>
              </w:rPr>
              <w:t>内置：最多支持2个M.2硬盘</w:t>
            </w:r>
          </w:p>
          <w:p w14:paraId="6B91B163">
            <w:pPr>
              <w:widowControl/>
              <w:adjustRightInd w:val="0"/>
              <w:snapToGrid w:val="0"/>
              <w:jc w:val="left"/>
              <w:rPr>
                <w:rFonts w:ascii="宋体" w:hAnsi="宋体" w:cs="宋体"/>
                <w:kern w:val="0"/>
              </w:rPr>
            </w:pPr>
            <w:r>
              <w:rPr>
                <w:rFonts w:hint="eastAsia" w:ascii="宋体" w:hAnsi="宋体" w:cs="宋体"/>
                <w:kern w:val="0"/>
              </w:rPr>
              <w:t>本次采购配置：480G SATA SSD 1DWPD 3.5 * 2块/960G SATA SSD 3DWPD 3.5 * 2块/4T 7.2K 6Gb/s SATA HDD 3.5 * 4块硬盘</w:t>
            </w:r>
          </w:p>
        </w:tc>
      </w:tr>
      <w:tr w14:paraId="2D196EE1">
        <w:tblPrEx>
          <w:tblCellMar>
            <w:top w:w="0" w:type="dxa"/>
            <w:left w:w="108" w:type="dxa"/>
            <w:bottom w:w="0" w:type="dxa"/>
            <w:right w:w="108" w:type="dxa"/>
          </w:tblCellMar>
        </w:tblPrEx>
        <w:trPr>
          <w:trHeight w:val="586"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268FA234">
            <w:pPr>
              <w:widowControl/>
              <w:adjustRightInd w:val="0"/>
              <w:snapToGrid w:val="0"/>
              <w:jc w:val="center"/>
              <w:rPr>
                <w:rFonts w:ascii="宋体" w:hAnsi="宋体" w:cs="宋体"/>
                <w:kern w:val="0"/>
              </w:rPr>
            </w:pPr>
            <w:r>
              <w:rPr>
                <w:rFonts w:hint="eastAsia" w:ascii="宋体" w:hAnsi="宋体" w:cs="宋体"/>
                <w:kern w:val="0"/>
              </w:rPr>
              <w:t>硬盘控制器</w:t>
            </w:r>
          </w:p>
        </w:tc>
        <w:tc>
          <w:tcPr>
            <w:tcW w:w="7938" w:type="dxa"/>
            <w:tcBorders>
              <w:top w:val="nil"/>
              <w:left w:val="nil"/>
              <w:bottom w:val="single" w:color="auto" w:sz="4" w:space="0"/>
              <w:right w:val="single" w:color="auto" w:sz="4" w:space="0"/>
            </w:tcBorders>
            <w:shd w:val="clear" w:color="auto" w:fill="auto"/>
            <w:vAlign w:val="center"/>
          </w:tcPr>
          <w:p w14:paraId="6F4E622E">
            <w:pPr>
              <w:widowControl/>
              <w:adjustRightInd w:val="0"/>
              <w:snapToGrid w:val="0"/>
              <w:jc w:val="left"/>
              <w:rPr>
                <w:rFonts w:ascii="宋体" w:hAnsi="宋体" w:cs="宋体"/>
                <w:kern w:val="0"/>
              </w:rPr>
            </w:pPr>
            <w:r>
              <w:rPr>
                <w:rFonts w:hint="eastAsia" w:ascii="宋体" w:hAnsi="宋体" w:cs="宋体"/>
                <w:kern w:val="0"/>
              </w:rPr>
              <w:t xml:space="preserve">支持10i/18i规格，支持RAID0/1/10/10/1E/JBOD， </w:t>
            </w:r>
            <w:r>
              <w:rPr>
                <w:rFonts w:hint="eastAsia" w:ascii="宋体" w:hAnsi="宋体" w:cs="宋体"/>
                <w:kern w:val="0"/>
              </w:rPr>
              <w:br w:type="textWrapping"/>
            </w:r>
            <w:r>
              <w:rPr>
                <w:rFonts w:hint="eastAsia" w:ascii="宋体" w:hAnsi="宋体" w:cs="宋体"/>
                <w:kern w:val="0"/>
              </w:rPr>
              <w:t>支持2*M.2 硬件RAID1，支持热插拔，热维护</w:t>
            </w:r>
          </w:p>
        </w:tc>
      </w:tr>
      <w:tr w14:paraId="622CE4AB">
        <w:tblPrEx>
          <w:tblCellMar>
            <w:top w:w="0" w:type="dxa"/>
            <w:left w:w="108" w:type="dxa"/>
            <w:bottom w:w="0" w:type="dxa"/>
            <w:right w:w="108" w:type="dxa"/>
          </w:tblCellMar>
        </w:tblPrEx>
        <w:trPr>
          <w:trHeight w:val="6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43BF846E">
            <w:pPr>
              <w:widowControl/>
              <w:adjustRightInd w:val="0"/>
              <w:snapToGrid w:val="0"/>
              <w:jc w:val="center"/>
              <w:rPr>
                <w:rFonts w:ascii="宋体" w:hAnsi="宋体" w:cs="宋体"/>
                <w:kern w:val="0"/>
              </w:rPr>
            </w:pPr>
            <w:r>
              <w:rPr>
                <w:rFonts w:hint="eastAsia" w:ascii="宋体" w:hAnsi="宋体" w:cs="宋体"/>
                <w:kern w:val="0"/>
              </w:rPr>
              <w:t>风扇</w:t>
            </w:r>
          </w:p>
        </w:tc>
        <w:tc>
          <w:tcPr>
            <w:tcW w:w="7938" w:type="dxa"/>
            <w:tcBorders>
              <w:top w:val="nil"/>
              <w:left w:val="nil"/>
              <w:bottom w:val="single" w:color="auto" w:sz="4" w:space="0"/>
              <w:right w:val="single" w:color="auto" w:sz="4" w:space="0"/>
            </w:tcBorders>
            <w:shd w:val="clear" w:color="000000" w:fill="FFFFFF"/>
            <w:vAlign w:val="center"/>
          </w:tcPr>
          <w:p w14:paraId="25484FDF">
            <w:pPr>
              <w:widowControl/>
              <w:adjustRightInd w:val="0"/>
              <w:snapToGrid w:val="0"/>
              <w:jc w:val="left"/>
              <w:rPr>
                <w:rFonts w:ascii="宋体" w:hAnsi="宋体" w:cs="宋体"/>
                <w:kern w:val="0"/>
              </w:rPr>
            </w:pPr>
            <w:r>
              <w:rPr>
                <w:rFonts w:hint="eastAsia" w:ascii="宋体" w:hAnsi="宋体" w:cs="宋体"/>
                <w:kern w:val="0"/>
              </w:rPr>
              <w:t>配置≥4个热插拔高速系统风扇，支持动态智能风扇调速：温度自适应、分区调速优化、调速容宇保障和风扇分组供电等特性，风扇支持N+1冗余及热插拔功能</w:t>
            </w:r>
          </w:p>
        </w:tc>
      </w:tr>
      <w:tr w14:paraId="170E2F07">
        <w:tblPrEx>
          <w:tblCellMar>
            <w:top w:w="0" w:type="dxa"/>
            <w:left w:w="108" w:type="dxa"/>
            <w:bottom w:w="0" w:type="dxa"/>
            <w:right w:w="108" w:type="dxa"/>
          </w:tblCellMar>
        </w:tblPrEx>
        <w:trPr>
          <w:trHeight w:val="3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6F4D58F9">
            <w:pPr>
              <w:widowControl/>
              <w:adjustRightInd w:val="0"/>
              <w:snapToGrid w:val="0"/>
              <w:jc w:val="center"/>
              <w:rPr>
                <w:rFonts w:ascii="宋体" w:hAnsi="宋体" w:cs="宋体"/>
                <w:kern w:val="0"/>
              </w:rPr>
            </w:pPr>
            <w:r>
              <w:rPr>
                <w:rFonts w:hint="eastAsia" w:ascii="宋体" w:hAnsi="宋体" w:cs="宋体"/>
                <w:kern w:val="0"/>
              </w:rPr>
              <w:t>电源</w:t>
            </w:r>
          </w:p>
        </w:tc>
        <w:tc>
          <w:tcPr>
            <w:tcW w:w="7938" w:type="dxa"/>
            <w:tcBorders>
              <w:top w:val="nil"/>
              <w:left w:val="nil"/>
              <w:bottom w:val="single" w:color="auto" w:sz="4" w:space="0"/>
              <w:right w:val="single" w:color="auto" w:sz="4" w:space="0"/>
            </w:tcBorders>
            <w:shd w:val="clear" w:color="000000" w:fill="FFFFFF"/>
            <w:vAlign w:val="center"/>
          </w:tcPr>
          <w:p w14:paraId="055B3508">
            <w:pPr>
              <w:widowControl/>
              <w:adjustRightInd w:val="0"/>
              <w:snapToGrid w:val="0"/>
              <w:jc w:val="left"/>
              <w:rPr>
                <w:rFonts w:ascii="宋体" w:hAnsi="宋体" w:cs="宋体"/>
                <w:kern w:val="0"/>
              </w:rPr>
            </w:pPr>
            <w:r>
              <w:rPr>
                <w:rFonts w:hint="eastAsia" w:ascii="宋体" w:hAnsi="宋体" w:cs="宋体"/>
                <w:kern w:val="0"/>
              </w:rPr>
              <w:t>配置2个800WCRPS标准电源，支持1+1冗余</w:t>
            </w:r>
          </w:p>
        </w:tc>
      </w:tr>
      <w:tr w14:paraId="36668533">
        <w:tblPrEx>
          <w:tblCellMar>
            <w:top w:w="0" w:type="dxa"/>
            <w:left w:w="108" w:type="dxa"/>
            <w:bottom w:w="0" w:type="dxa"/>
            <w:right w:w="108" w:type="dxa"/>
          </w:tblCellMar>
        </w:tblPrEx>
        <w:trPr>
          <w:trHeight w:val="9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162EDF16">
            <w:pPr>
              <w:widowControl/>
              <w:adjustRightInd w:val="0"/>
              <w:snapToGrid w:val="0"/>
              <w:jc w:val="center"/>
              <w:rPr>
                <w:rFonts w:ascii="宋体" w:hAnsi="宋体" w:cs="宋体"/>
                <w:kern w:val="0"/>
              </w:rPr>
            </w:pPr>
            <w:r>
              <w:rPr>
                <w:rFonts w:hint="eastAsia" w:ascii="宋体" w:hAnsi="宋体" w:cs="宋体"/>
                <w:kern w:val="0"/>
              </w:rPr>
              <w:t>其他IO</w:t>
            </w:r>
          </w:p>
        </w:tc>
        <w:tc>
          <w:tcPr>
            <w:tcW w:w="7938" w:type="dxa"/>
            <w:tcBorders>
              <w:top w:val="nil"/>
              <w:left w:val="nil"/>
              <w:bottom w:val="single" w:color="auto" w:sz="4" w:space="0"/>
              <w:right w:val="single" w:color="auto" w:sz="4" w:space="0"/>
            </w:tcBorders>
            <w:shd w:val="clear" w:color="auto" w:fill="auto"/>
            <w:vAlign w:val="center"/>
          </w:tcPr>
          <w:p w14:paraId="1F3103AB">
            <w:pPr>
              <w:widowControl/>
              <w:adjustRightInd w:val="0"/>
              <w:snapToGrid w:val="0"/>
              <w:jc w:val="left"/>
              <w:rPr>
                <w:rFonts w:ascii="宋体" w:hAnsi="宋体" w:cs="宋体"/>
                <w:kern w:val="0"/>
              </w:rPr>
            </w:pPr>
            <w:r>
              <w:rPr>
                <w:rFonts w:hint="eastAsia" w:ascii="宋体" w:hAnsi="宋体" w:cs="宋体"/>
                <w:kern w:val="0"/>
              </w:rPr>
              <w:t xml:space="preserve">1个RJ-45管理接口； </w:t>
            </w:r>
            <w:r>
              <w:rPr>
                <w:rFonts w:hint="eastAsia" w:ascii="宋体" w:hAnsi="宋体" w:cs="宋体"/>
                <w:kern w:val="0"/>
              </w:rPr>
              <w:br w:type="textWrapping"/>
            </w:r>
            <w:r>
              <w:rPr>
                <w:rFonts w:hint="eastAsia" w:ascii="宋体" w:hAnsi="宋体" w:cs="宋体"/>
                <w:kern w:val="0"/>
              </w:rPr>
              <w:t>2个VGA接口位于机箱后部，1个位于机箱后部，1个位于机箱前部；</w:t>
            </w:r>
            <w:r>
              <w:rPr>
                <w:rFonts w:hint="eastAsia" w:ascii="宋体" w:hAnsi="宋体" w:cs="宋体"/>
                <w:kern w:val="0"/>
              </w:rPr>
              <w:br w:type="textWrapping"/>
            </w:r>
            <w:r>
              <w:rPr>
                <w:rFonts w:hint="eastAsia" w:ascii="宋体" w:hAnsi="宋体" w:cs="宋体"/>
                <w:kern w:val="0"/>
              </w:rPr>
              <w:t>4个USB接口，2个位于机箱后部、2个位于机箱前部；</w:t>
            </w:r>
          </w:p>
        </w:tc>
      </w:tr>
      <w:tr w14:paraId="04631093">
        <w:tblPrEx>
          <w:tblCellMar>
            <w:top w:w="0" w:type="dxa"/>
            <w:left w:w="108" w:type="dxa"/>
            <w:bottom w:w="0" w:type="dxa"/>
            <w:right w:w="108" w:type="dxa"/>
          </w:tblCellMar>
        </w:tblPrEx>
        <w:trPr>
          <w:trHeight w:val="3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1610B359">
            <w:pPr>
              <w:widowControl/>
              <w:adjustRightInd w:val="0"/>
              <w:snapToGrid w:val="0"/>
              <w:jc w:val="center"/>
              <w:rPr>
                <w:rFonts w:ascii="宋体" w:hAnsi="宋体" w:cs="宋体"/>
                <w:kern w:val="0"/>
              </w:rPr>
            </w:pPr>
            <w:r>
              <w:rPr>
                <w:rFonts w:hint="eastAsia" w:ascii="宋体" w:hAnsi="宋体" w:cs="宋体"/>
                <w:kern w:val="0"/>
              </w:rPr>
              <w:t>机箱</w:t>
            </w:r>
          </w:p>
        </w:tc>
        <w:tc>
          <w:tcPr>
            <w:tcW w:w="7938" w:type="dxa"/>
            <w:tcBorders>
              <w:top w:val="nil"/>
              <w:left w:val="nil"/>
              <w:bottom w:val="single" w:color="auto" w:sz="4" w:space="0"/>
              <w:right w:val="single" w:color="auto" w:sz="4" w:space="0"/>
            </w:tcBorders>
            <w:shd w:val="clear" w:color="auto" w:fill="auto"/>
            <w:vAlign w:val="center"/>
          </w:tcPr>
          <w:p w14:paraId="19BD0B31">
            <w:pPr>
              <w:widowControl/>
              <w:adjustRightInd w:val="0"/>
              <w:snapToGrid w:val="0"/>
              <w:jc w:val="left"/>
              <w:rPr>
                <w:rFonts w:ascii="宋体" w:hAnsi="宋体" w:cs="宋体"/>
                <w:kern w:val="0"/>
              </w:rPr>
            </w:pPr>
            <w:r>
              <w:rPr>
                <w:rFonts w:hint="eastAsia" w:ascii="宋体" w:hAnsi="宋体" w:cs="宋体"/>
                <w:kern w:val="0"/>
              </w:rPr>
              <w:t>2U双路机架式服务器，机箱深度小于800mm</w:t>
            </w:r>
          </w:p>
        </w:tc>
      </w:tr>
      <w:tr w14:paraId="2DB33805">
        <w:tblPrEx>
          <w:tblCellMar>
            <w:top w:w="0" w:type="dxa"/>
            <w:left w:w="108" w:type="dxa"/>
            <w:bottom w:w="0" w:type="dxa"/>
            <w:right w:w="108" w:type="dxa"/>
          </w:tblCellMar>
        </w:tblPrEx>
        <w:trPr>
          <w:trHeight w:val="24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677F8C99">
            <w:pPr>
              <w:widowControl/>
              <w:adjustRightInd w:val="0"/>
              <w:snapToGrid w:val="0"/>
              <w:jc w:val="center"/>
              <w:rPr>
                <w:rFonts w:ascii="宋体" w:hAnsi="宋体" w:cs="宋体"/>
                <w:kern w:val="0"/>
              </w:rPr>
            </w:pPr>
            <w:r>
              <w:rPr>
                <w:rFonts w:hint="eastAsia" w:ascii="宋体" w:hAnsi="宋体" w:cs="宋体"/>
              </w:rPr>
              <w:t>▲</w:t>
            </w:r>
            <w:r>
              <w:rPr>
                <w:rFonts w:hint="eastAsia" w:ascii="宋体" w:hAnsi="宋体" w:cs="宋体"/>
                <w:kern w:val="0"/>
              </w:rPr>
              <w:t>安全特性</w:t>
            </w:r>
          </w:p>
        </w:tc>
        <w:tc>
          <w:tcPr>
            <w:tcW w:w="7938" w:type="dxa"/>
            <w:tcBorders>
              <w:top w:val="nil"/>
              <w:left w:val="nil"/>
              <w:bottom w:val="single" w:color="auto" w:sz="4" w:space="0"/>
              <w:right w:val="single" w:color="auto" w:sz="4" w:space="0"/>
            </w:tcBorders>
            <w:shd w:val="clear" w:color="000000" w:fill="FFFFFF"/>
          </w:tcPr>
          <w:p w14:paraId="2341C870">
            <w:pPr>
              <w:widowControl/>
              <w:adjustRightInd w:val="0"/>
              <w:snapToGrid w:val="0"/>
              <w:jc w:val="left"/>
              <w:rPr>
                <w:rFonts w:ascii="宋体" w:hAnsi="宋体" w:cs="宋体"/>
                <w:kern w:val="0"/>
              </w:rPr>
            </w:pPr>
            <w:r>
              <w:rPr>
                <w:rFonts w:hint="eastAsia" w:ascii="宋体" w:hAnsi="宋体" w:cs="宋体"/>
                <w:kern w:val="0"/>
              </w:rPr>
              <w:t>1、支持开箱报警，提高远程监管能力</w:t>
            </w:r>
            <w:r>
              <w:rPr>
                <w:rFonts w:hint="eastAsia" w:ascii="宋体" w:hAnsi="宋体" w:cs="宋体"/>
                <w:kern w:val="0"/>
              </w:rPr>
              <w:br w:type="textWrapping"/>
            </w:r>
            <w:r>
              <w:rPr>
                <w:rFonts w:hint="eastAsia" w:ascii="宋体" w:hAnsi="宋体" w:cs="宋体"/>
                <w:kern w:val="0"/>
              </w:rPr>
              <w:t>2、支持TPCM</w:t>
            </w:r>
            <w:r>
              <w:rPr>
                <w:rFonts w:hint="eastAsia" w:ascii="宋体" w:hAnsi="宋体" w:cs="宋体"/>
                <w:kern w:val="0"/>
              </w:rPr>
              <w:br w:type="textWrapping"/>
            </w:r>
            <w:r>
              <w:rPr>
                <w:rFonts w:hint="eastAsia" w:ascii="宋体" w:hAnsi="宋体" w:cs="宋体"/>
                <w:kern w:val="0"/>
              </w:rPr>
              <w:t>3、BIOS和BMC均采用自主研发代码</w:t>
            </w:r>
            <w:r>
              <w:rPr>
                <w:rFonts w:hint="eastAsia" w:ascii="宋体" w:hAnsi="宋体" w:cs="宋体"/>
                <w:kern w:val="0"/>
              </w:rPr>
              <w:br w:type="textWrapping"/>
            </w:r>
            <w:r>
              <w:rPr>
                <w:rFonts w:hint="eastAsia" w:ascii="宋体" w:hAnsi="宋体" w:cs="宋体"/>
                <w:kern w:val="0"/>
              </w:rPr>
              <w:t>4、BMC支持 smash-cli隔离原生ssh非安全访问、支持 WEB 操作二次认证等安全增强功能、支持BIOS/BMC 固件更新时的完整性校验和CPLD 固件平台验证功能、支持KVM 加密&amp;自动锁定功能、支持 VNC 独立密码设置功能、支持 BMC 用户密码增强设置功能、支持 BMC 用户基于 SMTP 的密码找回功能、支持 BMC 用户 SNMP 独立密码设置功能、支持BMC用户SNMP 认证协议的加密算法（SHA&amp;MD5&amp;SHA256&amp;SHA384&amp;SHA512）（可提供截图证明）</w:t>
            </w:r>
            <w:r>
              <w:rPr>
                <w:rFonts w:hint="eastAsia" w:ascii="宋体" w:hAnsi="宋体" w:cs="宋体"/>
                <w:kern w:val="0"/>
              </w:rPr>
              <w:br w:type="textWrapping"/>
            </w:r>
            <w:r>
              <w:rPr>
                <w:rFonts w:hint="eastAsia" w:ascii="宋体" w:hAnsi="宋体" w:cs="宋体"/>
                <w:kern w:val="0"/>
              </w:rPr>
              <w:t>5.支持BMC 双Flash 主备设计，提升防灾能力</w:t>
            </w:r>
          </w:p>
        </w:tc>
      </w:tr>
      <w:tr w14:paraId="5F8AC627">
        <w:tblPrEx>
          <w:tblCellMar>
            <w:top w:w="0" w:type="dxa"/>
            <w:left w:w="108" w:type="dxa"/>
            <w:bottom w:w="0" w:type="dxa"/>
            <w:right w:w="108" w:type="dxa"/>
          </w:tblCellMar>
        </w:tblPrEx>
        <w:trPr>
          <w:trHeight w:val="12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4F78EEA8">
            <w:pPr>
              <w:widowControl/>
              <w:adjustRightInd w:val="0"/>
              <w:snapToGrid w:val="0"/>
              <w:jc w:val="center"/>
              <w:rPr>
                <w:rFonts w:ascii="宋体" w:hAnsi="宋体" w:cs="宋体"/>
                <w:kern w:val="0"/>
              </w:rPr>
            </w:pPr>
            <w:r>
              <w:rPr>
                <w:rFonts w:hint="eastAsia" w:ascii="宋体" w:hAnsi="宋体" w:cs="宋体"/>
                <w:kern w:val="0"/>
              </w:rPr>
              <w:t>★易用性</w:t>
            </w:r>
          </w:p>
        </w:tc>
        <w:tc>
          <w:tcPr>
            <w:tcW w:w="7938" w:type="dxa"/>
            <w:tcBorders>
              <w:top w:val="nil"/>
              <w:left w:val="nil"/>
              <w:bottom w:val="single" w:color="auto" w:sz="4" w:space="0"/>
              <w:right w:val="single" w:color="auto" w:sz="4" w:space="0"/>
            </w:tcBorders>
            <w:shd w:val="clear" w:color="000000" w:fill="FFFFFF"/>
          </w:tcPr>
          <w:p w14:paraId="6D6890E0">
            <w:pPr>
              <w:widowControl/>
              <w:adjustRightInd w:val="0"/>
              <w:snapToGrid w:val="0"/>
              <w:jc w:val="left"/>
              <w:rPr>
                <w:rFonts w:ascii="宋体" w:hAnsi="宋体" w:cs="宋体"/>
                <w:kern w:val="0"/>
              </w:rPr>
            </w:pPr>
            <w:r>
              <w:rPr>
                <w:rFonts w:hint="eastAsia" w:ascii="宋体" w:hAnsi="宋体" w:cs="宋体"/>
                <w:kern w:val="0"/>
              </w:rPr>
              <w:t>1、支持BIOS和BMC 中英文切换（可提供截图证明）</w:t>
            </w:r>
            <w:r>
              <w:rPr>
                <w:rFonts w:hint="eastAsia" w:ascii="宋体" w:hAnsi="宋体" w:cs="宋体"/>
                <w:kern w:val="0"/>
              </w:rPr>
              <w:br w:type="textWrapping"/>
            </w:r>
            <w:r>
              <w:rPr>
                <w:rFonts w:hint="eastAsia" w:ascii="宋体" w:hAnsi="宋体" w:cs="宋体"/>
                <w:kern w:val="0"/>
              </w:rPr>
              <w:t>2、BMC 界面支持产品渲染图展示（可提供截图证明）</w:t>
            </w:r>
            <w:r>
              <w:rPr>
                <w:rFonts w:hint="eastAsia" w:ascii="宋体" w:hAnsi="宋体" w:cs="宋体"/>
                <w:kern w:val="0"/>
              </w:rPr>
              <w:br w:type="textWrapping"/>
            </w:r>
            <w:r>
              <w:rPr>
                <w:rFonts w:hint="eastAsia" w:ascii="宋体" w:hAnsi="宋体" w:cs="宋体"/>
                <w:kern w:val="0"/>
              </w:rPr>
              <w:t>3、BMC支持独立在线帮助信息页面（可提供截图证明）</w:t>
            </w:r>
            <w:r>
              <w:rPr>
                <w:rFonts w:hint="eastAsia" w:ascii="宋体" w:hAnsi="宋体" w:cs="宋体"/>
                <w:kern w:val="0"/>
              </w:rPr>
              <w:br w:type="textWrapping"/>
            </w:r>
            <w:r>
              <w:rPr>
                <w:rFonts w:hint="eastAsia" w:ascii="宋体" w:hAnsi="宋体" w:cs="宋体"/>
                <w:kern w:val="0"/>
              </w:rPr>
              <w:t>4、支持部件SN信息明文显示在事件日志中（可提供截图证明）</w:t>
            </w:r>
          </w:p>
        </w:tc>
      </w:tr>
      <w:tr w14:paraId="4847032B">
        <w:tblPrEx>
          <w:tblCellMar>
            <w:top w:w="0" w:type="dxa"/>
            <w:left w:w="108" w:type="dxa"/>
            <w:bottom w:w="0" w:type="dxa"/>
            <w:right w:w="108" w:type="dxa"/>
          </w:tblCellMar>
        </w:tblPrEx>
        <w:trPr>
          <w:trHeight w:val="1200"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69E0ABD8">
            <w:pPr>
              <w:widowControl/>
              <w:adjustRightInd w:val="0"/>
              <w:snapToGrid w:val="0"/>
              <w:jc w:val="center"/>
              <w:rPr>
                <w:rFonts w:ascii="宋体" w:hAnsi="宋体" w:cs="宋体"/>
                <w:kern w:val="0"/>
              </w:rPr>
            </w:pPr>
            <w:r>
              <w:rPr>
                <w:rFonts w:hint="eastAsia" w:ascii="宋体" w:hAnsi="宋体" w:cs="宋体"/>
                <w:kern w:val="0"/>
              </w:rPr>
              <w:t>★运维管理</w:t>
            </w:r>
          </w:p>
        </w:tc>
        <w:tc>
          <w:tcPr>
            <w:tcW w:w="7938" w:type="dxa"/>
            <w:tcBorders>
              <w:top w:val="nil"/>
              <w:left w:val="nil"/>
              <w:bottom w:val="single" w:color="auto" w:sz="4" w:space="0"/>
              <w:right w:val="single" w:color="auto" w:sz="4" w:space="0"/>
            </w:tcBorders>
            <w:shd w:val="clear" w:color="000000" w:fill="FFFFFF"/>
          </w:tcPr>
          <w:p w14:paraId="6B2D69F6">
            <w:pPr>
              <w:widowControl/>
              <w:adjustRightInd w:val="0"/>
              <w:snapToGrid w:val="0"/>
              <w:jc w:val="left"/>
              <w:rPr>
                <w:rFonts w:ascii="宋体" w:hAnsi="宋体" w:cs="宋体"/>
                <w:kern w:val="0"/>
              </w:rPr>
            </w:pPr>
            <w:r>
              <w:rPr>
                <w:rFonts w:hint="eastAsia" w:ascii="宋体" w:hAnsi="宋体" w:cs="宋体"/>
                <w:kern w:val="0"/>
              </w:rPr>
              <w:t>1、BMC支持单次或永久 系统启动项设置（可提供截图证明）</w:t>
            </w:r>
            <w:r>
              <w:rPr>
                <w:rFonts w:hint="eastAsia" w:ascii="宋体" w:hAnsi="宋体" w:cs="宋体"/>
                <w:kern w:val="0"/>
              </w:rPr>
              <w:br w:type="textWrapping"/>
            </w:r>
            <w:r>
              <w:rPr>
                <w:rFonts w:hint="eastAsia" w:ascii="宋体" w:hAnsi="宋体" w:cs="宋体"/>
                <w:kern w:val="0"/>
              </w:rPr>
              <w:t>2、支持USB Direct功能，可通过U盘实现收集日志信息或BMC Recovery 动作（可提供截图证明）</w:t>
            </w:r>
            <w:r>
              <w:rPr>
                <w:rFonts w:hint="eastAsia" w:ascii="宋体" w:hAnsi="宋体" w:cs="宋体"/>
                <w:kern w:val="0"/>
              </w:rPr>
              <w:br w:type="textWrapping"/>
            </w:r>
            <w:r>
              <w:rPr>
                <w:rFonts w:hint="eastAsia" w:ascii="宋体" w:hAnsi="宋体" w:cs="宋体"/>
                <w:kern w:val="0"/>
              </w:rPr>
              <w:t>3、BMC支持固件镜像位置设置（可提供截图证明）</w:t>
            </w:r>
            <w:r>
              <w:rPr>
                <w:rFonts w:hint="eastAsia" w:ascii="宋体" w:hAnsi="宋体" w:cs="宋体"/>
                <w:kern w:val="0"/>
              </w:rPr>
              <w:br w:type="textWrapping"/>
            </w:r>
            <w:r>
              <w:rPr>
                <w:rFonts w:hint="eastAsia" w:ascii="宋体" w:hAnsi="宋体" w:cs="宋体"/>
                <w:kern w:val="0"/>
              </w:rPr>
              <w:t>4、支持开机状态下升级CPLD，关机即可生效，不用断电（可提供截图证明）</w:t>
            </w:r>
          </w:p>
        </w:tc>
      </w:tr>
      <w:tr w14:paraId="389143F7">
        <w:tblPrEx>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16BC0">
            <w:pPr>
              <w:widowControl/>
              <w:adjustRightInd w:val="0"/>
              <w:snapToGrid w:val="0"/>
              <w:jc w:val="center"/>
              <w:rPr>
                <w:rFonts w:ascii="宋体" w:hAnsi="宋体" w:cs="宋体"/>
                <w:kern w:val="0"/>
              </w:rPr>
            </w:pPr>
            <w:r>
              <w:rPr>
                <w:rFonts w:hint="eastAsia" w:ascii="宋体" w:hAnsi="宋体" w:cs="宋体"/>
                <w:kern w:val="0"/>
              </w:rPr>
              <w:t>产品资质</w:t>
            </w:r>
          </w:p>
        </w:tc>
        <w:tc>
          <w:tcPr>
            <w:tcW w:w="7938" w:type="dxa"/>
            <w:tcBorders>
              <w:top w:val="single" w:color="auto" w:sz="4" w:space="0"/>
              <w:left w:val="nil"/>
              <w:bottom w:val="single" w:color="auto" w:sz="4" w:space="0"/>
              <w:right w:val="single" w:color="auto" w:sz="4" w:space="0"/>
            </w:tcBorders>
            <w:shd w:val="clear" w:color="auto" w:fill="auto"/>
            <w:vAlign w:val="center"/>
          </w:tcPr>
          <w:p w14:paraId="399F8A81">
            <w:pPr>
              <w:widowControl/>
              <w:adjustRightInd w:val="0"/>
              <w:snapToGrid w:val="0"/>
              <w:jc w:val="left"/>
              <w:rPr>
                <w:rFonts w:ascii="宋体" w:hAnsi="宋体" w:cs="宋体"/>
                <w:kern w:val="0"/>
              </w:rPr>
            </w:pPr>
            <w:r>
              <w:rPr>
                <w:rFonts w:hint="eastAsia" w:ascii="宋体" w:hAnsi="宋体" w:cs="宋体"/>
                <w:kern w:val="0"/>
              </w:rPr>
              <w:t>通过3C认证、节能认证提供证书复印件并加盖厂家公章</w:t>
            </w:r>
          </w:p>
        </w:tc>
      </w:tr>
      <w:tr w14:paraId="3BBF2CA5">
        <w:tblPrEx>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9310C">
            <w:pPr>
              <w:widowControl/>
              <w:adjustRightInd w:val="0"/>
              <w:snapToGrid w:val="0"/>
              <w:jc w:val="center"/>
              <w:rPr>
                <w:rFonts w:ascii="宋体" w:hAnsi="宋体" w:cs="宋体"/>
                <w:kern w:val="0"/>
              </w:rPr>
            </w:pPr>
            <w:bookmarkStart w:id="1" w:name="_Hlk200374132"/>
            <w:r>
              <w:rPr>
                <w:rFonts w:hint="eastAsia" w:ascii="宋体" w:hAnsi="宋体" w:cs="宋体"/>
                <w:kern w:val="0"/>
              </w:rPr>
              <w:t>质保</w:t>
            </w:r>
          </w:p>
        </w:tc>
        <w:tc>
          <w:tcPr>
            <w:tcW w:w="7938" w:type="dxa"/>
            <w:tcBorders>
              <w:top w:val="single" w:color="auto" w:sz="4" w:space="0"/>
              <w:left w:val="nil"/>
              <w:bottom w:val="single" w:color="auto" w:sz="4" w:space="0"/>
              <w:right w:val="single" w:color="auto" w:sz="4" w:space="0"/>
            </w:tcBorders>
            <w:shd w:val="clear" w:color="auto" w:fill="auto"/>
            <w:vAlign w:val="center"/>
          </w:tcPr>
          <w:p w14:paraId="080B7CCB">
            <w:pPr>
              <w:widowControl/>
              <w:adjustRightInd w:val="0"/>
              <w:snapToGrid w:val="0"/>
              <w:jc w:val="center"/>
              <w:rPr>
                <w:rFonts w:ascii="宋体" w:hAnsi="宋体" w:cs="宋体"/>
                <w:kern w:val="0"/>
              </w:rPr>
            </w:pPr>
            <w:r>
              <w:rPr>
                <w:rFonts w:hint="eastAsia" w:ascii="宋体" w:hAnsi="宋体" w:cs="宋体"/>
                <w:kern w:val="0"/>
              </w:rPr>
              <w:t>整机3年原厂质保，上门服务</w:t>
            </w:r>
          </w:p>
        </w:tc>
      </w:tr>
      <w:bookmarkEnd w:id="1"/>
    </w:tbl>
    <w:p w14:paraId="43687CA4"/>
    <w:p w14:paraId="27954858">
      <w:pPr>
        <w:widowControl/>
        <w:jc w:val="left"/>
      </w:pPr>
      <w:r>
        <w:br w:type="page"/>
      </w:r>
    </w:p>
    <w:p w14:paraId="7EF63003">
      <w:r>
        <w:rPr>
          <w:rFonts w:hint="eastAsia"/>
        </w:rPr>
        <w:t>2、国产化信创超融合管理软件系统技术规格要求：</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01"/>
      </w:tblGrid>
      <w:tr w14:paraId="43E2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E9DF13">
            <w:pPr>
              <w:widowControl/>
              <w:adjustRightInd w:val="0"/>
              <w:snapToGrid w:val="0"/>
              <w:spacing w:line="288" w:lineRule="auto"/>
              <w:jc w:val="center"/>
              <w:rPr>
                <w:rFonts w:ascii="宋体" w:hAnsi="宋体" w:cs="宋体"/>
                <w:b/>
                <w:bCs/>
              </w:rPr>
            </w:pPr>
            <w:r>
              <w:rPr>
                <w:rFonts w:hint="eastAsia" w:ascii="宋体" w:hAnsi="宋体" w:cs="宋体"/>
                <w:b/>
                <w:bCs/>
              </w:rPr>
              <w:t>指标项</w:t>
            </w:r>
          </w:p>
        </w:tc>
        <w:tc>
          <w:tcPr>
            <w:tcW w:w="8501" w:type="dxa"/>
            <w:tcBorders>
              <w:top w:val="single" w:color="auto" w:sz="4" w:space="0"/>
              <w:left w:val="single" w:color="auto" w:sz="4" w:space="0"/>
              <w:bottom w:val="single" w:color="auto" w:sz="4" w:space="0"/>
              <w:right w:val="single" w:color="auto" w:sz="4" w:space="0"/>
            </w:tcBorders>
            <w:vAlign w:val="center"/>
          </w:tcPr>
          <w:p w14:paraId="7D1FB151">
            <w:pPr>
              <w:widowControl/>
              <w:adjustRightInd w:val="0"/>
              <w:snapToGrid w:val="0"/>
              <w:spacing w:line="288" w:lineRule="auto"/>
              <w:jc w:val="center"/>
              <w:rPr>
                <w:rFonts w:ascii="宋体" w:hAnsi="宋体" w:cs="宋体"/>
                <w:b/>
                <w:bCs/>
              </w:rPr>
            </w:pPr>
            <w:r>
              <w:rPr>
                <w:rFonts w:hint="eastAsia" w:ascii="宋体" w:hAnsi="宋体" w:cs="宋体"/>
                <w:b/>
                <w:bCs/>
              </w:rPr>
              <w:t>指标要求</w:t>
            </w:r>
          </w:p>
        </w:tc>
      </w:tr>
      <w:tr w14:paraId="574B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restart"/>
            <w:tcBorders>
              <w:top w:val="single" w:color="auto" w:sz="4" w:space="0"/>
              <w:left w:val="single" w:color="auto" w:sz="4" w:space="0"/>
              <w:right w:val="single" w:color="auto" w:sz="4" w:space="0"/>
            </w:tcBorders>
            <w:vAlign w:val="center"/>
          </w:tcPr>
          <w:p w14:paraId="616F1D94">
            <w:pPr>
              <w:widowControl/>
              <w:adjustRightInd w:val="0"/>
              <w:snapToGrid w:val="0"/>
              <w:spacing w:line="288" w:lineRule="auto"/>
              <w:jc w:val="left"/>
              <w:rPr>
                <w:rFonts w:ascii="宋体" w:hAnsi="宋体" w:cs="宋体"/>
              </w:rPr>
            </w:pPr>
            <w:r>
              <w:rPr>
                <w:rFonts w:hint="eastAsia" w:ascii="宋体" w:hAnsi="宋体" w:cs="宋体"/>
              </w:rPr>
              <w:t>总体要求</w:t>
            </w:r>
          </w:p>
        </w:tc>
        <w:tc>
          <w:tcPr>
            <w:tcW w:w="8501" w:type="dxa"/>
            <w:tcBorders>
              <w:top w:val="single" w:color="auto" w:sz="4" w:space="0"/>
              <w:left w:val="single" w:color="auto" w:sz="4" w:space="0"/>
              <w:bottom w:val="single" w:color="auto" w:sz="4" w:space="0"/>
              <w:right w:val="single" w:color="auto" w:sz="4" w:space="0"/>
            </w:tcBorders>
            <w:vAlign w:val="center"/>
          </w:tcPr>
          <w:p w14:paraId="7ECE9C37">
            <w:pPr>
              <w:widowControl/>
              <w:adjustRightInd w:val="0"/>
              <w:snapToGrid w:val="0"/>
              <w:spacing w:line="288" w:lineRule="auto"/>
              <w:jc w:val="left"/>
              <w:rPr>
                <w:rFonts w:ascii="宋体" w:hAnsi="宋体" w:cs="宋体"/>
              </w:rPr>
            </w:pPr>
            <w:r>
              <w:rPr>
                <w:rFonts w:hint="eastAsia" w:ascii="宋体" w:hAnsi="宋体" w:cs="宋体"/>
              </w:rPr>
              <w:t>▲保证功能的可靠性和安全性，要求产品完全自研，非OEM或贴牌产品，禁止借用第三方软件的整合。</w:t>
            </w:r>
          </w:p>
        </w:tc>
      </w:tr>
      <w:tr w14:paraId="1DAF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left w:val="single" w:color="auto" w:sz="4" w:space="0"/>
              <w:bottom w:val="single" w:color="auto" w:sz="4" w:space="0"/>
              <w:right w:val="single" w:color="auto" w:sz="4" w:space="0"/>
            </w:tcBorders>
            <w:vAlign w:val="center"/>
          </w:tcPr>
          <w:p w14:paraId="160DA2B4">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242795EE">
            <w:pPr>
              <w:widowControl/>
              <w:adjustRightInd w:val="0"/>
              <w:snapToGrid w:val="0"/>
              <w:spacing w:line="288" w:lineRule="auto"/>
              <w:jc w:val="left"/>
              <w:rPr>
                <w:rFonts w:ascii="宋体" w:hAnsi="宋体" w:cs="宋体"/>
              </w:rPr>
            </w:pPr>
            <w:r>
              <w:rPr>
                <w:rFonts w:hint="eastAsia" w:ascii="宋体" w:hAnsi="宋体" w:cs="宋体"/>
              </w:rPr>
              <w:t>▲本次提供超融合软件授权许6套（6颗物理</w:t>
            </w:r>
            <w:r>
              <w:rPr>
                <w:rFonts w:ascii="宋体" w:hAnsi="宋体" w:cs="宋体"/>
              </w:rPr>
              <w:t>CPU</w:t>
            </w:r>
            <w:r>
              <w:rPr>
                <w:rFonts w:hint="eastAsia" w:ascii="宋体" w:hAnsi="宋体" w:cs="宋体"/>
              </w:rPr>
              <w:t>），并提供3套虚拟化麒麟内核授权，保障超融合软件合规。提供不少于3年软件维保服务。</w:t>
            </w:r>
          </w:p>
        </w:tc>
      </w:tr>
      <w:tr w14:paraId="5AE5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5A7B33">
            <w:pPr>
              <w:widowControl/>
              <w:adjustRightInd w:val="0"/>
              <w:snapToGrid w:val="0"/>
              <w:spacing w:line="288" w:lineRule="auto"/>
              <w:jc w:val="left"/>
              <w:rPr>
                <w:rFonts w:ascii="宋体" w:hAnsi="宋体" w:cs="宋体"/>
              </w:rPr>
            </w:pPr>
            <w:r>
              <w:rPr>
                <w:rFonts w:hint="eastAsia" w:ascii="宋体" w:hAnsi="宋体" w:cs="宋体"/>
              </w:rPr>
              <w:t>Vmware纳管授权</w:t>
            </w:r>
          </w:p>
        </w:tc>
        <w:tc>
          <w:tcPr>
            <w:tcW w:w="8501" w:type="dxa"/>
            <w:tcBorders>
              <w:top w:val="single" w:color="auto" w:sz="4" w:space="0"/>
              <w:left w:val="single" w:color="auto" w:sz="4" w:space="0"/>
              <w:bottom w:val="single" w:color="auto" w:sz="4" w:space="0"/>
              <w:right w:val="single" w:color="auto" w:sz="4" w:space="0"/>
            </w:tcBorders>
            <w:vAlign w:val="center"/>
          </w:tcPr>
          <w:p w14:paraId="143546B2">
            <w:pPr>
              <w:widowControl/>
              <w:adjustRightInd w:val="0"/>
              <w:snapToGrid w:val="0"/>
              <w:spacing w:line="288" w:lineRule="auto"/>
              <w:jc w:val="left"/>
              <w:rPr>
                <w:rFonts w:ascii="宋体" w:hAnsi="宋体" w:cs="宋体"/>
              </w:rPr>
            </w:pPr>
            <w:r>
              <w:rPr>
                <w:rFonts w:hint="eastAsia" w:ascii="宋体" w:hAnsi="宋体" w:cs="宋体"/>
              </w:rPr>
              <w:t>★为满足对学校现网vmware虚拟化平台上云主机的统一管理要求，本次超融合产品云管平台需支持纳管VMware虚拟化平台，实现学校两套虚拟化平台的集中管理。支持在超融合上的云管平台直接创建VMware虚拟机并进行虚拟机的全生命周期管理，包括开关机、挂起、迁移、分配、编辑等操作。（需提供纳管及操作vmware平台云主机的证明截图）</w:t>
            </w:r>
          </w:p>
        </w:tc>
      </w:tr>
      <w:tr w14:paraId="7367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vMerge w:val="restart"/>
            <w:tcBorders>
              <w:top w:val="single" w:color="auto" w:sz="4" w:space="0"/>
              <w:left w:val="single" w:color="auto" w:sz="4" w:space="0"/>
              <w:right w:val="single" w:color="auto" w:sz="4" w:space="0"/>
            </w:tcBorders>
            <w:vAlign w:val="center"/>
          </w:tcPr>
          <w:p w14:paraId="3E304098">
            <w:pPr>
              <w:widowControl/>
              <w:adjustRightInd w:val="0"/>
              <w:snapToGrid w:val="0"/>
              <w:spacing w:line="288" w:lineRule="auto"/>
              <w:jc w:val="left"/>
              <w:rPr>
                <w:rFonts w:ascii="宋体" w:hAnsi="宋体" w:cs="宋体"/>
              </w:rPr>
            </w:pPr>
            <w:r>
              <w:rPr>
                <w:rFonts w:hint="eastAsia" w:ascii="宋体" w:hAnsi="宋体" w:cs="宋体"/>
              </w:rPr>
              <w:t>计算虚拟化</w:t>
            </w:r>
          </w:p>
        </w:tc>
        <w:tc>
          <w:tcPr>
            <w:tcW w:w="8501" w:type="dxa"/>
            <w:tcBorders>
              <w:top w:val="single" w:color="auto" w:sz="4" w:space="0"/>
              <w:left w:val="single" w:color="auto" w:sz="4" w:space="0"/>
              <w:bottom w:val="single" w:color="auto" w:sz="4" w:space="0"/>
              <w:right w:val="single" w:color="auto" w:sz="4" w:space="0"/>
            </w:tcBorders>
            <w:vAlign w:val="center"/>
          </w:tcPr>
          <w:p w14:paraId="5C2ADCDC">
            <w:pPr>
              <w:widowControl/>
              <w:adjustRightInd w:val="0"/>
              <w:snapToGrid w:val="0"/>
              <w:spacing w:line="288" w:lineRule="auto"/>
              <w:jc w:val="left"/>
              <w:rPr>
                <w:rFonts w:ascii="宋体" w:hAnsi="宋体" w:cs="宋体"/>
              </w:rPr>
            </w:pPr>
            <w:r>
              <w:rPr>
                <w:rFonts w:hint="eastAsia" w:ascii="宋体" w:hAnsi="宋体" w:cs="宋体"/>
              </w:rPr>
              <w:t>支持平台中的集群资源环境一键检测，对硬件健康、平台底层的虚拟化的运行状态和配置，进行多个维度进行检查，提供快速定位问题功能，确保系统最佳状态。</w:t>
            </w:r>
          </w:p>
        </w:tc>
      </w:tr>
      <w:tr w14:paraId="3E16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71712AC5">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1D82CD9E">
            <w:pPr>
              <w:widowControl/>
              <w:adjustRightInd w:val="0"/>
              <w:snapToGrid w:val="0"/>
              <w:spacing w:line="288" w:lineRule="auto"/>
              <w:jc w:val="left"/>
              <w:rPr>
                <w:rFonts w:ascii="宋体" w:hAnsi="宋体" w:cs="宋体"/>
              </w:rPr>
            </w:pPr>
            <w:r>
              <w:rPr>
                <w:rFonts w:hint="eastAsia" w:ascii="宋体" w:hAnsi="宋体" w:cs="宋体"/>
              </w:rPr>
              <w:t>支持在线的带存储的虚拟机迁移功能，可以在不停机状态下和非共享存储的环境中，实现虚拟机在集群内的不同物理机上迁移，保障业务连续性。</w:t>
            </w:r>
          </w:p>
        </w:tc>
      </w:tr>
      <w:tr w14:paraId="31E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0D71FAE5">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68B2E427">
            <w:pPr>
              <w:widowControl/>
              <w:adjustRightInd w:val="0"/>
              <w:snapToGrid w:val="0"/>
              <w:spacing w:line="288" w:lineRule="auto"/>
              <w:jc w:val="left"/>
              <w:rPr>
                <w:rFonts w:ascii="宋体" w:hAnsi="宋体" w:cs="宋体"/>
              </w:rPr>
            </w:pPr>
            <w:r>
              <w:rPr>
                <w:rFonts w:hint="eastAsia" w:ascii="宋体" w:hAnsi="宋体" w:cs="宋体"/>
              </w:rPr>
              <w:t>★学校信创改造的业务计划部署在超融合平台，平台需定期升级保障平台稳定性，核心业务不能长时间停机，超融合平台需支持在线升级不影响业务；为保证升级时间与步骤可控，升级过程中支持对升级节点进行升级顺序编排、升级暂停。（需提供满足上述功能的产品功能截图材料）</w:t>
            </w:r>
          </w:p>
        </w:tc>
      </w:tr>
      <w:tr w14:paraId="6AAB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1CD2CC75">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5DFA6970">
            <w:pPr>
              <w:widowControl/>
              <w:adjustRightInd w:val="0"/>
              <w:snapToGrid w:val="0"/>
              <w:spacing w:line="288" w:lineRule="auto"/>
              <w:jc w:val="left"/>
              <w:rPr>
                <w:rFonts w:ascii="宋体" w:hAnsi="宋体" w:cs="宋体"/>
              </w:rPr>
            </w:pPr>
            <w:r>
              <w:rPr>
                <w:rFonts w:hint="eastAsia" w:ascii="宋体" w:hAnsi="宋体" w:cs="宋体"/>
              </w:rPr>
              <w:t>支持设置告警类型（紧急和普通）、告警内容（集群、主机、虚拟机、CPU、内存、磁盘），针对告警信息平台可自动给出告警处理建议，同时支持将告警信息以短信和邮件方式发送给管理员。</w:t>
            </w:r>
          </w:p>
        </w:tc>
      </w:tr>
      <w:tr w14:paraId="2060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5BB35079">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09230AC0">
            <w:pPr>
              <w:widowControl/>
              <w:adjustRightInd w:val="0"/>
              <w:snapToGrid w:val="0"/>
              <w:spacing w:line="288" w:lineRule="auto"/>
              <w:jc w:val="left"/>
              <w:rPr>
                <w:rFonts w:ascii="宋体" w:hAnsi="宋体" w:cs="宋体"/>
              </w:rPr>
            </w:pPr>
            <w:r>
              <w:rPr>
                <w:rFonts w:hint="eastAsia" w:ascii="宋体" w:hAnsi="宋体" w:cs="宋体"/>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w:t>
            </w:r>
          </w:p>
        </w:tc>
      </w:tr>
      <w:tr w14:paraId="5264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2368A194">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000B73C0">
            <w:pPr>
              <w:widowControl/>
              <w:adjustRightInd w:val="0"/>
              <w:snapToGrid w:val="0"/>
              <w:spacing w:line="288" w:lineRule="auto"/>
              <w:jc w:val="left"/>
              <w:rPr>
                <w:rFonts w:ascii="宋体" w:hAnsi="宋体" w:cs="宋体"/>
              </w:rPr>
            </w:pPr>
            <w:r>
              <w:rPr>
                <w:rFonts w:hint="eastAsia" w:ascii="宋体" w:hAnsi="宋体" w:cs="宋体"/>
              </w:rPr>
              <w:t>★支持无代理跨物理主机的虚拟机USB映射，需要使用USB KEY时，无需再虚拟机上安装客户端插件，且虚拟机迁移到其它物理主机后，仍能正常使用迁移前所在物理主机上的USB资源，对于业务的自适应能力、使用便捷性更佳。（需提供满足上述功能的产品功能截图材料）</w:t>
            </w:r>
          </w:p>
        </w:tc>
      </w:tr>
      <w:tr w14:paraId="63A3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6A88082C">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7FAE7AA3">
            <w:pPr>
              <w:widowControl/>
              <w:adjustRightInd w:val="0"/>
              <w:snapToGrid w:val="0"/>
              <w:spacing w:line="288" w:lineRule="auto"/>
              <w:jc w:val="left"/>
              <w:rPr>
                <w:rFonts w:ascii="宋体" w:hAnsi="宋体" w:cs="宋体"/>
              </w:rPr>
            </w:pPr>
            <w:r>
              <w:rPr>
                <w:rFonts w:hint="eastAsia" w:ascii="宋体" w:hAnsi="宋体" w:cs="宋体"/>
              </w:rPr>
              <w:t>★为保障供电不稳定时导致数据中心断电，产品需支持UPS QoS（UPS联动），为尽可能保障数据中心断电场景下的业务，可在市电断电时通过UPS临时供应电量，当UPS电量过低时，按照虚拟机优先级先将不重要的虚拟机进行软关机。（需提供满足上述功能的产品功能截图材料）</w:t>
            </w:r>
          </w:p>
        </w:tc>
      </w:tr>
      <w:tr w14:paraId="46E0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1DF006A8">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1C3C0D89">
            <w:pPr>
              <w:widowControl/>
              <w:adjustRightInd w:val="0"/>
              <w:snapToGrid w:val="0"/>
              <w:spacing w:line="288" w:lineRule="auto"/>
              <w:jc w:val="left"/>
              <w:rPr>
                <w:rFonts w:ascii="宋体" w:hAnsi="宋体" w:cs="宋体"/>
              </w:rPr>
            </w:pPr>
            <w:r>
              <w:rPr>
                <w:rFonts w:hint="eastAsia" w:ascii="宋体" w:hAnsi="宋体" w:cs="宋体"/>
              </w:rPr>
              <w:t>虚拟机迁移支持指定网口迁移、限制迁移速度、启用压缩传输，同时虚拟机迁移过程中如因数据写入量过大迁移不完，可支持强制切换操作。</w:t>
            </w:r>
          </w:p>
        </w:tc>
      </w:tr>
      <w:tr w14:paraId="4247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1B1C8A5E">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30F50181">
            <w:pPr>
              <w:widowControl/>
              <w:adjustRightInd w:val="0"/>
              <w:snapToGrid w:val="0"/>
              <w:spacing w:line="288" w:lineRule="auto"/>
              <w:jc w:val="left"/>
              <w:rPr>
                <w:rFonts w:ascii="宋体" w:hAnsi="宋体" w:cs="宋体"/>
              </w:rPr>
            </w:pPr>
            <w:r>
              <w:rPr>
                <w:rFonts w:hint="eastAsia" w:ascii="宋体" w:hAnsi="宋体" w:cs="宋体"/>
              </w:rPr>
              <w:t>★超融合软件层面支持内存ECC自动纠错机制，当扫描到物理主机的内存条出现ECC CE、UE错误时，能够将对应内存空间进行隔离并告警故障内存条的槽位，减少内存问题对业务的影响。（需提供具有CNAS、CMA资质的第三方测试机构的证明材料，需包含对应功能测试页）</w:t>
            </w:r>
          </w:p>
        </w:tc>
      </w:tr>
      <w:tr w14:paraId="768B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4CC77592">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1AF650EF">
            <w:pPr>
              <w:widowControl/>
              <w:adjustRightInd w:val="0"/>
              <w:snapToGrid w:val="0"/>
              <w:spacing w:line="288" w:lineRule="auto"/>
              <w:jc w:val="left"/>
              <w:rPr>
                <w:rFonts w:ascii="宋体" w:hAnsi="宋体" w:cs="宋体"/>
              </w:rPr>
            </w:pPr>
            <w:r>
              <w:rPr>
                <w:rFonts w:hint="eastAsia" w:ascii="宋体" w:hAnsi="宋体" w:cs="宋体"/>
              </w:rPr>
              <w:t>提供基于PowerShell的CLI命令行功能，通过命令行可以进行管理计算虚拟化、存储虚拟化、网络虚拟化模块，并通过PowerShell脚本可简化用户运维操作。</w:t>
            </w:r>
          </w:p>
        </w:tc>
      </w:tr>
      <w:tr w14:paraId="00A4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6887E8CF">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40FB381F">
            <w:pPr>
              <w:widowControl/>
              <w:adjustRightInd w:val="0"/>
              <w:snapToGrid w:val="0"/>
              <w:spacing w:line="288" w:lineRule="auto"/>
              <w:jc w:val="left"/>
              <w:rPr>
                <w:rFonts w:ascii="宋体" w:hAnsi="宋体" w:cs="宋体"/>
              </w:rPr>
            </w:pPr>
            <w:r>
              <w:rPr>
                <w:rFonts w:hint="eastAsia" w:ascii="宋体" w:hAnsi="宋体" w:cs="宋体"/>
              </w:rPr>
              <w:t>★超融合平台应提供智能DRS功能，可提供基于性能均衡模式的DRS机制，保障虚拟机在任何调度场景下，每次调度都能获得性能、可靠性收益；可依据主机负载情况进行设置调度灵敏度（如保守、默认、激进）。可提供基于成本最优模式的DRS机制，保障虚拟机性能稳定，优先往已有负载的主机上调度；可根据虚拟机性能评分设置调度灵敏度。同时通过AI算法可以对主机评分、虚拟机评分（包括可靠性评分和性能评分）。支持设置DRS调度时间段。（需提供满足上述功能的产品功能截图材料）</w:t>
            </w:r>
          </w:p>
        </w:tc>
      </w:tr>
      <w:tr w14:paraId="7794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55" w:type="dxa"/>
            <w:vMerge w:val="restart"/>
            <w:tcBorders>
              <w:top w:val="single" w:color="auto" w:sz="4" w:space="0"/>
              <w:left w:val="single" w:color="auto" w:sz="4" w:space="0"/>
              <w:bottom w:val="single" w:color="auto" w:sz="4" w:space="0"/>
              <w:right w:val="single" w:color="auto" w:sz="4" w:space="0"/>
            </w:tcBorders>
            <w:vAlign w:val="center"/>
          </w:tcPr>
          <w:p w14:paraId="5004E4CC">
            <w:pPr>
              <w:widowControl/>
              <w:adjustRightInd w:val="0"/>
              <w:snapToGrid w:val="0"/>
              <w:spacing w:line="288" w:lineRule="auto"/>
              <w:jc w:val="left"/>
              <w:rPr>
                <w:rFonts w:ascii="宋体" w:hAnsi="宋体" w:cs="宋体"/>
              </w:rPr>
            </w:pPr>
            <w:r>
              <w:rPr>
                <w:rFonts w:hint="eastAsia" w:ascii="宋体" w:hAnsi="宋体" w:cs="宋体"/>
              </w:rPr>
              <w:t>存储虚拟化</w:t>
            </w:r>
          </w:p>
        </w:tc>
        <w:tc>
          <w:tcPr>
            <w:tcW w:w="8501" w:type="dxa"/>
            <w:tcBorders>
              <w:top w:val="single" w:color="auto" w:sz="4" w:space="0"/>
              <w:left w:val="single" w:color="auto" w:sz="4" w:space="0"/>
              <w:bottom w:val="single" w:color="auto" w:sz="4" w:space="0"/>
              <w:right w:val="single" w:color="auto" w:sz="4" w:space="0"/>
            </w:tcBorders>
            <w:vAlign w:val="center"/>
          </w:tcPr>
          <w:p w14:paraId="66CA3D06">
            <w:pPr>
              <w:widowControl/>
              <w:adjustRightInd w:val="0"/>
              <w:snapToGrid w:val="0"/>
              <w:spacing w:line="288" w:lineRule="auto"/>
              <w:jc w:val="left"/>
              <w:rPr>
                <w:rFonts w:ascii="宋体" w:hAnsi="宋体" w:cs="宋体"/>
              </w:rPr>
            </w:pPr>
            <w:r>
              <w:rPr>
                <w:rFonts w:hint="eastAsia" w:ascii="宋体" w:hAnsi="宋体" w:cs="宋体"/>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tc>
      </w:tr>
      <w:tr w14:paraId="212B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0621D426">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5AD464C9">
            <w:pPr>
              <w:widowControl/>
              <w:adjustRightInd w:val="0"/>
              <w:snapToGrid w:val="0"/>
              <w:spacing w:line="288" w:lineRule="auto"/>
              <w:jc w:val="left"/>
              <w:rPr>
                <w:rFonts w:ascii="宋体" w:hAnsi="宋体" w:cs="宋体"/>
              </w:rPr>
            </w:pPr>
            <w:r>
              <w:rPr>
                <w:rFonts w:hint="eastAsia" w:ascii="宋体" w:hAnsi="宋体" w:cs="宋体"/>
              </w:rPr>
              <w:t>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SSD，SAS，SATA，NL-SAS等。</w:t>
            </w:r>
          </w:p>
        </w:tc>
      </w:tr>
      <w:tr w14:paraId="3D67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148C8CF8">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6F08BDD6">
            <w:pPr>
              <w:widowControl/>
              <w:adjustRightInd w:val="0"/>
              <w:snapToGrid w:val="0"/>
              <w:spacing w:line="288" w:lineRule="auto"/>
              <w:jc w:val="left"/>
              <w:rPr>
                <w:rFonts w:ascii="宋体" w:hAnsi="宋体" w:cs="宋体"/>
              </w:rPr>
            </w:pPr>
            <w:r>
              <w:rPr>
                <w:rFonts w:hint="eastAsia" w:ascii="宋体" w:hAnsi="宋体" w:cs="宋体"/>
              </w:rPr>
              <w:t>支持磁盘亚健康监测，包括PCIE SSD寿命告警、硬盘卡、慢的检测和告警、IO错误告警、RAID卡错误告警等。</w:t>
            </w:r>
          </w:p>
        </w:tc>
      </w:tr>
      <w:tr w14:paraId="5C73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504A9E59">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59A9A6E1">
            <w:pPr>
              <w:widowControl/>
              <w:adjustRightInd w:val="0"/>
              <w:snapToGrid w:val="0"/>
              <w:spacing w:line="288" w:lineRule="auto"/>
              <w:jc w:val="left"/>
              <w:rPr>
                <w:rFonts w:ascii="宋体" w:hAnsi="宋体" w:cs="宋体"/>
              </w:rPr>
            </w:pPr>
            <w:r>
              <w:rPr>
                <w:rFonts w:hint="eastAsia" w:ascii="宋体" w:hAnsi="宋体" w:cs="宋体"/>
              </w:rPr>
              <w:t>支持针对卡慢盘、异常只读盘的自动检测、自动隔离及手动隔离，隔离分为临时拔盘、永久拔盘，消除磁盘异常对业务的影响。</w:t>
            </w:r>
          </w:p>
        </w:tc>
      </w:tr>
      <w:tr w14:paraId="50CF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66042F09">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498D67AD">
            <w:pPr>
              <w:widowControl/>
              <w:adjustRightInd w:val="0"/>
              <w:snapToGrid w:val="0"/>
              <w:spacing w:line="288" w:lineRule="auto"/>
              <w:jc w:val="left"/>
              <w:rPr>
                <w:rFonts w:ascii="宋体" w:hAnsi="宋体" w:cs="宋体"/>
              </w:rPr>
            </w:pPr>
            <w:r>
              <w:rPr>
                <w:rFonts w:hint="eastAsia" w:ascii="宋体" w:hAnsi="宋体" w:cs="宋体"/>
              </w:rPr>
              <w:t>★支持对虚拟机或虚拟磁盘设置数据分布策略，当采用副本聚合策略时，可以保证以性能优先为原则，实现IO本地读效果，当采用副本散列策略时，可以保证虚拟机以分布均匀优先为原则，打散分布均匀在各物理主机上（需提供满足上述功能的产品功能截图材料）</w:t>
            </w:r>
          </w:p>
        </w:tc>
      </w:tr>
      <w:tr w14:paraId="0ED8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38A093E0">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0355D4FE">
            <w:pPr>
              <w:widowControl/>
              <w:adjustRightInd w:val="0"/>
              <w:snapToGrid w:val="0"/>
              <w:spacing w:line="288" w:lineRule="auto"/>
              <w:jc w:val="left"/>
              <w:rPr>
                <w:rFonts w:ascii="宋体" w:hAnsi="宋体" w:cs="宋体"/>
              </w:rPr>
            </w:pPr>
            <w:r>
              <w:rPr>
                <w:rFonts w:hint="eastAsia" w:ascii="宋体" w:hAnsi="宋体" w:cs="宋体"/>
              </w:rPr>
              <w:t>在可视化的WEB管理平台上，可以查看虚拟分布式存储对应的容量大小、容量使用率、实时的IOPS读写次数、IOPS读写数据量等信息，方便为IT管理做为有效的决策依据。</w:t>
            </w:r>
          </w:p>
        </w:tc>
      </w:tr>
      <w:tr w14:paraId="6098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2A9F8303">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4471E62D">
            <w:pPr>
              <w:widowControl/>
              <w:adjustRightInd w:val="0"/>
              <w:snapToGrid w:val="0"/>
              <w:spacing w:line="288" w:lineRule="auto"/>
              <w:jc w:val="left"/>
              <w:rPr>
                <w:rFonts w:ascii="宋体" w:hAnsi="宋体" w:cs="宋体"/>
              </w:rPr>
            </w:pPr>
            <w:r>
              <w:rPr>
                <w:rFonts w:hint="eastAsia" w:ascii="宋体" w:hAnsi="宋体" w:cs="宋体"/>
              </w:rPr>
              <w:t>当硬盘寿命到期、硬盘坏道数量过多，硬盘处于亚健康状态时，支持进入磁盘维护模式，在系统隔离硬盘之前，会对数据进行全面的巡检，确保硬盘隔离时业务不受影响。</w:t>
            </w:r>
          </w:p>
        </w:tc>
      </w:tr>
      <w:tr w14:paraId="5F9D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4959A176">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0E940556">
            <w:pPr>
              <w:widowControl/>
              <w:adjustRightInd w:val="0"/>
              <w:snapToGrid w:val="0"/>
              <w:spacing w:line="288" w:lineRule="auto"/>
              <w:jc w:val="left"/>
              <w:rPr>
                <w:rFonts w:ascii="宋体" w:hAnsi="宋体" w:cs="宋体"/>
              </w:rPr>
            </w:pPr>
            <w:r>
              <w:rPr>
                <w:rFonts w:hint="eastAsia" w:ascii="宋体" w:hAnsi="宋体" w:cs="宋体"/>
              </w:rPr>
              <w:t>★硬件故障对平台影响较大，也会影响数据安全，为保障业务在硬件故障后尽快恢复冗余数据保障，支持数据重建优先级调整，可以查看数据重建信息，包括重建的对象名称、类型、数据量和优先级等信息，支持对不同对象的重建优先级进行调整，保证重要的业务优先恢复（提供带有CMA、CNAS标识的检测报告证明，至少包含报告首页，对应功能测试页和报告尾页）</w:t>
            </w:r>
          </w:p>
        </w:tc>
      </w:tr>
      <w:tr w14:paraId="7D74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33EE9789">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63382F1F">
            <w:pPr>
              <w:widowControl/>
              <w:adjustRightInd w:val="0"/>
              <w:snapToGrid w:val="0"/>
              <w:spacing w:line="288" w:lineRule="auto"/>
              <w:jc w:val="left"/>
              <w:rPr>
                <w:rFonts w:ascii="宋体" w:hAnsi="宋体" w:cs="宋体"/>
              </w:rPr>
            </w:pPr>
            <w:r>
              <w:rPr>
                <w:rFonts w:hint="eastAsia" w:ascii="宋体" w:hAnsi="宋体" w:cs="宋体"/>
              </w:rPr>
              <w:t>支持数据自动重建机制，当主机或者磁盘故障后，自动利用集群内空闲磁盘空间，将故障数据重新恢复，且重建速度最快可达30min/TB以上，快速恢复副本的完整性和冗余度，确保用户数据的可靠性和安全性。</w:t>
            </w:r>
          </w:p>
        </w:tc>
      </w:tr>
      <w:tr w14:paraId="1A0B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7C9CDB09">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288BE63A">
            <w:pPr>
              <w:widowControl/>
              <w:adjustRightInd w:val="0"/>
              <w:snapToGrid w:val="0"/>
              <w:spacing w:line="288" w:lineRule="auto"/>
              <w:jc w:val="left"/>
              <w:rPr>
                <w:rFonts w:ascii="宋体" w:hAnsi="宋体" w:cs="宋体"/>
              </w:rPr>
            </w:pPr>
            <w:r>
              <w:rPr>
                <w:rFonts w:hint="eastAsia" w:ascii="宋体" w:hAnsi="宋体" w:cs="宋体"/>
              </w:rPr>
              <w:t>★支持坏道扫描功能，可以在定时坏道扫描界面设置执行时间并执行坏道扫描任务，由用户设置扫描的扫描时间段定期对集群的硬盘进行扫描，及时发现潜藏的坏道。并支持发现坏道后，主动修复坏道区域数据。 （需提供具有CNAS、CMA资质的第三方测试机构的证明材料，需包含对应功能测试页）</w:t>
            </w:r>
          </w:p>
        </w:tc>
      </w:tr>
      <w:tr w14:paraId="6528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55" w:type="dxa"/>
            <w:vMerge w:val="restart"/>
            <w:tcBorders>
              <w:top w:val="single" w:color="auto" w:sz="4" w:space="0"/>
              <w:left w:val="single" w:color="auto" w:sz="4" w:space="0"/>
              <w:bottom w:val="single" w:color="auto" w:sz="4" w:space="0"/>
              <w:right w:val="single" w:color="auto" w:sz="4" w:space="0"/>
            </w:tcBorders>
            <w:vAlign w:val="center"/>
          </w:tcPr>
          <w:p w14:paraId="5958E007">
            <w:pPr>
              <w:widowControl/>
              <w:adjustRightInd w:val="0"/>
              <w:snapToGrid w:val="0"/>
              <w:spacing w:line="288" w:lineRule="auto"/>
              <w:jc w:val="left"/>
              <w:rPr>
                <w:rFonts w:ascii="宋体" w:hAnsi="宋体" w:cs="宋体"/>
              </w:rPr>
            </w:pPr>
            <w:r>
              <w:rPr>
                <w:rFonts w:hint="eastAsia" w:ascii="宋体" w:hAnsi="宋体" w:cs="宋体"/>
              </w:rPr>
              <w:t>网络虚拟化</w:t>
            </w:r>
          </w:p>
        </w:tc>
        <w:tc>
          <w:tcPr>
            <w:tcW w:w="8501" w:type="dxa"/>
            <w:tcBorders>
              <w:top w:val="single" w:color="auto" w:sz="4" w:space="0"/>
              <w:left w:val="single" w:color="auto" w:sz="4" w:space="0"/>
              <w:bottom w:val="single" w:color="auto" w:sz="4" w:space="0"/>
              <w:right w:val="single" w:color="auto" w:sz="4" w:space="0"/>
            </w:tcBorders>
            <w:vAlign w:val="center"/>
          </w:tcPr>
          <w:p w14:paraId="419751C5">
            <w:pPr>
              <w:widowControl/>
              <w:adjustRightInd w:val="0"/>
              <w:snapToGrid w:val="0"/>
              <w:spacing w:line="288" w:lineRule="auto"/>
              <w:jc w:val="left"/>
              <w:rPr>
                <w:rFonts w:ascii="宋体" w:hAnsi="宋体" w:cs="宋体"/>
              </w:rPr>
            </w:pPr>
            <w:r>
              <w:rPr>
                <w:rFonts w:hint="eastAsia" w:ascii="宋体" w:hAnsi="宋体" w:cs="宋体"/>
              </w:rPr>
              <w:t>★通常业务虚拟机出现网络问题，运维人员需要逐个排查效率较低，为方便运维人员根据虚机间流量情况跟踪排障，方便快速定位问题，及时优化调整安全策略，超融合需提供网络可视化功能，在图形化界面观察到所有虚拟机的流量走向与访问关系，包括源对象、源IP、目标对象、目的IP、访问次数、服务类型等信息。（需提供具有CNAS、CMA资质的第三方测试机构的证明材料，至少包含报告首页，对应功能测试页和报告尾页）</w:t>
            </w:r>
          </w:p>
        </w:tc>
      </w:tr>
      <w:tr w14:paraId="26E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6B7E0933">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5D33CA55">
            <w:pPr>
              <w:widowControl/>
              <w:adjustRightInd w:val="0"/>
              <w:snapToGrid w:val="0"/>
              <w:spacing w:line="288" w:lineRule="auto"/>
              <w:jc w:val="left"/>
              <w:rPr>
                <w:rFonts w:ascii="宋体" w:hAnsi="宋体" w:cs="宋体"/>
              </w:rPr>
            </w:pPr>
            <w:r>
              <w:rPr>
                <w:rFonts w:hint="eastAsia" w:ascii="宋体" w:hAnsi="宋体" w:cs="宋体"/>
              </w:rPr>
              <w:t>为满足用户使用ipv6地址的需求，支持为虚拟机配置ipv6地址，并可通过ipv6地址访问该业务。</w:t>
            </w:r>
          </w:p>
        </w:tc>
      </w:tr>
      <w:tr w14:paraId="5E5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636BCF82">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3A049F4B">
            <w:pPr>
              <w:widowControl/>
              <w:adjustRightInd w:val="0"/>
              <w:snapToGrid w:val="0"/>
              <w:spacing w:line="288" w:lineRule="auto"/>
              <w:jc w:val="left"/>
              <w:rPr>
                <w:rFonts w:ascii="宋体" w:hAnsi="宋体" w:cs="宋体"/>
              </w:rPr>
            </w:pPr>
            <w:r>
              <w:rPr>
                <w:rFonts w:hint="eastAsia" w:ascii="宋体" w:hAnsi="宋体" w:cs="宋体"/>
              </w:rPr>
              <w:t>支持创建分布式虚拟防火墙，基于虚拟机构建安全防火墙，当虚拟机在不同的物理节点之间迁移时，安全策略随之移动。</w:t>
            </w:r>
          </w:p>
        </w:tc>
      </w:tr>
      <w:tr w14:paraId="7A2B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1ECB2954">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72FD4AC9">
            <w:pPr>
              <w:widowControl/>
              <w:adjustRightInd w:val="0"/>
              <w:snapToGrid w:val="0"/>
              <w:spacing w:line="288" w:lineRule="auto"/>
              <w:jc w:val="left"/>
              <w:rPr>
                <w:rFonts w:ascii="宋体" w:hAnsi="宋体" w:cs="宋体"/>
              </w:rPr>
            </w:pPr>
            <w:r>
              <w:rPr>
                <w:rFonts w:hint="eastAsia" w:ascii="宋体" w:hAnsi="宋体" w:cs="宋体"/>
              </w:rPr>
              <w:t>分布式防火墙基于监测虚机IP地址和端口进行东西向流量隔离控制，并提供实时拦截日志，以及支持“数据直通ByPass”功能，方便出现问题快速定位问题。</w:t>
            </w:r>
          </w:p>
        </w:tc>
      </w:tr>
      <w:tr w14:paraId="1711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5FDD6DD0">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vAlign w:val="center"/>
          </w:tcPr>
          <w:p w14:paraId="4CCAB1BC">
            <w:pPr>
              <w:widowControl/>
              <w:adjustRightInd w:val="0"/>
              <w:snapToGrid w:val="0"/>
              <w:spacing w:line="288" w:lineRule="auto"/>
              <w:jc w:val="left"/>
              <w:rPr>
                <w:rFonts w:ascii="宋体" w:hAnsi="宋体" w:cs="宋体"/>
              </w:rPr>
            </w:pPr>
            <w:r>
              <w:rPr>
                <w:rFonts w:hint="eastAsia" w:ascii="宋体" w:hAnsi="宋体" w:cs="宋体"/>
              </w:rPr>
              <w:t>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w:t>
            </w:r>
          </w:p>
        </w:tc>
      </w:tr>
      <w:tr w14:paraId="2DF4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restart"/>
            <w:tcBorders>
              <w:top w:val="single" w:color="auto" w:sz="4" w:space="0"/>
              <w:left w:val="single" w:color="auto" w:sz="4" w:space="0"/>
              <w:bottom w:val="single" w:color="auto" w:sz="4" w:space="0"/>
              <w:right w:val="single" w:color="auto" w:sz="4" w:space="0"/>
            </w:tcBorders>
            <w:vAlign w:val="center"/>
          </w:tcPr>
          <w:p w14:paraId="0CACAE8A">
            <w:pPr>
              <w:widowControl/>
              <w:adjustRightInd w:val="0"/>
              <w:snapToGrid w:val="0"/>
              <w:spacing w:line="288" w:lineRule="auto"/>
              <w:jc w:val="left"/>
              <w:rPr>
                <w:rFonts w:ascii="宋体" w:hAnsi="宋体" w:cs="宋体"/>
              </w:rPr>
            </w:pPr>
            <w:r>
              <w:rPr>
                <w:rFonts w:hint="eastAsia" w:ascii="宋体" w:hAnsi="宋体" w:cs="宋体"/>
              </w:rPr>
              <w:t>厂商实力</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14:paraId="57B09FED">
            <w:pPr>
              <w:widowControl/>
              <w:adjustRightInd w:val="0"/>
              <w:snapToGrid w:val="0"/>
              <w:spacing w:line="288" w:lineRule="auto"/>
              <w:jc w:val="left"/>
              <w:rPr>
                <w:rFonts w:ascii="宋体" w:hAnsi="宋体" w:cs="宋体"/>
              </w:rPr>
            </w:pPr>
            <w:r>
              <w:rPr>
                <w:rFonts w:hint="eastAsia" w:ascii="宋体" w:hAnsi="宋体" w:cs="宋体"/>
              </w:rPr>
              <w:t>★为确保所投产品生产厂商软件安全开发实力，云平台厂商需具备中国网络安全审查技术与认证中心颁发的软件安全开发服务资质，提供证明材料。</w:t>
            </w:r>
          </w:p>
        </w:tc>
      </w:tr>
      <w:tr w14:paraId="05BD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0955AC3A">
            <w:pPr>
              <w:widowControl/>
              <w:adjustRightInd w:val="0"/>
              <w:snapToGrid w:val="0"/>
              <w:spacing w:line="288" w:lineRule="auto"/>
              <w:jc w:val="left"/>
              <w:rPr>
                <w:rFonts w:ascii="宋体" w:hAnsi="宋体" w:cs="宋体"/>
              </w:rPr>
            </w:pP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14:paraId="36BCD828">
            <w:pPr>
              <w:widowControl/>
              <w:adjustRightInd w:val="0"/>
              <w:snapToGrid w:val="0"/>
              <w:spacing w:line="288" w:lineRule="auto"/>
              <w:jc w:val="left"/>
              <w:rPr>
                <w:rFonts w:ascii="宋体" w:hAnsi="宋体" w:cs="宋体"/>
              </w:rPr>
            </w:pPr>
            <w:r>
              <w:rPr>
                <w:rFonts w:hint="eastAsia" w:ascii="宋体" w:hAnsi="宋体" w:cs="宋体"/>
              </w:rPr>
              <w:t>为确保信息安全，所投产品云平台厂商需具备中国信息安全测评中心颁发的信息安全服务资质证书（云计算安全类），提供证书证明。</w:t>
            </w:r>
          </w:p>
        </w:tc>
      </w:tr>
      <w:tr w14:paraId="6001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DE30B">
            <w:pPr>
              <w:widowControl/>
              <w:adjustRightInd w:val="0"/>
              <w:snapToGrid w:val="0"/>
              <w:spacing w:line="288" w:lineRule="auto"/>
              <w:jc w:val="left"/>
              <w:rPr>
                <w:rFonts w:ascii="宋体" w:hAnsi="宋体" w:cs="宋体"/>
              </w:rPr>
            </w:pPr>
            <w:r>
              <w:rPr>
                <w:rFonts w:hint="eastAsia" w:ascii="宋体" w:hAnsi="宋体" w:cs="宋体"/>
              </w:rPr>
              <w:t>其他</w:t>
            </w:r>
          </w:p>
        </w:tc>
        <w:tc>
          <w:tcPr>
            <w:tcW w:w="8501" w:type="dxa"/>
            <w:tcBorders>
              <w:top w:val="single" w:color="auto" w:sz="4" w:space="0"/>
              <w:left w:val="single" w:color="auto" w:sz="4" w:space="0"/>
              <w:bottom w:val="single" w:color="auto" w:sz="4" w:space="0"/>
              <w:right w:val="single" w:color="auto" w:sz="4" w:space="0"/>
            </w:tcBorders>
            <w:vAlign w:val="center"/>
          </w:tcPr>
          <w:p w14:paraId="294BE7A0">
            <w:pPr>
              <w:widowControl/>
              <w:adjustRightInd w:val="0"/>
              <w:snapToGrid w:val="0"/>
              <w:spacing w:line="288" w:lineRule="auto"/>
              <w:jc w:val="left"/>
              <w:rPr>
                <w:rFonts w:ascii="宋体" w:hAnsi="宋体" w:cs="宋体"/>
              </w:rPr>
            </w:pPr>
            <w:r>
              <w:rPr>
                <w:rFonts w:hint="eastAsia" w:ascii="宋体" w:hAnsi="宋体" w:cs="宋体"/>
              </w:rPr>
              <w:t>中标后三个工作日内需提供软件对上述功能进行逐一测试，测试中若发现有虚假应标行为，采购人保留追究法律责任的权力。</w:t>
            </w:r>
          </w:p>
        </w:tc>
      </w:tr>
    </w:tbl>
    <w:p w14:paraId="4A4D2436"/>
    <w:p w14:paraId="1F45040B">
      <w:r>
        <w:rPr>
          <w:rFonts w:hint="eastAsia"/>
        </w:rPr>
        <w:t>3、万兆网络交换机技术规格要求：</w:t>
      </w:r>
    </w:p>
    <w:tbl>
      <w:tblPr>
        <w:tblStyle w:val="4"/>
        <w:tblW w:w="9356" w:type="dxa"/>
        <w:tblInd w:w="-147" w:type="dxa"/>
        <w:tblLayout w:type="autofit"/>
        <w:tblCellMar>
          <w:top w:w="0" w:type="dxa"/>
          <w:left w:w="108" w:type="dxa"/>
          <w:bottom w:w="0" w:type="dxa"/>
          <w:right w:w="108" w:type="dxa"/>
        </w:tblCellMar>
      </w:tblPr>
      <w:tblGrid>
        <w:gridCol w:w="1418"/>
        <w:gridCol w:w="7938"/>
      </w:tblGrid>
      <w:tr w14:paraId="2CF87638">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80BB0">
            <w:pPr>
              <w:widowControl/>
              <w:adjustRightInd w:val="0"/>
              <w:snapToGrid w:val="0"/>
              <w:jc w:val="center"/>
              <w:rPr>
                <w:rFonts w:ascii="宋体" w:hAnsi="宋体" w:cs="宋体"/>
                <w:kern w:val="0"/>
              </w:rPr>
            </w:pPr>
            <w:r>
              <w:rPr>
                <w:rFonts w:hint="eastAsia" w:ascii="宋体" w:hAnsi="宋体" w:cs="宋体"/>
                <w:kern w:val="0"/>
              </w:rPr>
              <w:t>指标项</w:t>
            </w:r>
          </w:p>
        </w:tc>
        <w:tc>
          <w:tcPr>
            <w:tcW w:w="7938" w:type="dxa"/>
            <w:tcBorders>
              <w:top w:val="single" w:color="auto" w:sz="4" w:space="0"/>
              <w:left w:val="nil"/>
              <w:bottom w:val="single" w:color="auto" w:sz="4" w:space="0"/>
              <w:right w:val="single" w:color="auto" w:sz="4" w:space="0"/>
            </w:tcBorders>
            <w:shd w:val="clear" w:color="auto" w:fill="auto"/>
            <w:vAlign w:val="center"/>
          </w:tcPr>
          <w:p w14:paraId="7D652990">
            <w:pPr>
              <w:widowControl/>
              <w:adjustRightInd w:val="0"/>
              <w:snapToGrid w:val="0"/>
              <w:jc w:val="center"/>
              <w:rPr>
                <w:rFonts w:ascii="宋体" w:hAnsi="宋体" w:cs="宋体"/>
                <w:kern w:val="0"/>
              </w:rPr>
            </w:pPr>
            <w:r>
              <w:rPr>
                <w:rFonts w:hint="eastAsia" w:ascii="宋体" w:hAnsi="宋体" w:cs="宋体"/>
                <w:kern w:val="0"/>
              </w:rPr>
              <w:t>参数要求</w:t>
            </w:r>
          </w:p>
        </w:tc>
      </w:tr>
      <w:tr w14:paraId="60071632">
        <w:tblPrEx>
          <w:tblCellMar>
            <w:top w:w="0" w:type="dxa"/>
            <w:left w:w="108" w:type="dxa"/>
            <w:bottom w:w="0" w:type="dxa"/>
            <w:right w:w="108" w:type="dxa"/>
          </w:tblCellMar>
        </w:tblPrEx>
        <w:trPr>
          <w:trHeight w:val="278" w:hRule="atLeast"/>
        </w:trPr>
        <w:tc>
          <w:tcPr>
            <w:tcW w:w="93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C1464">
            <w:pPr>
              <w:widowControl/>
              <w:adjustRightInd w:val="0"/>
              <w:snapToGrid w:val="0"/>
              <w:jc w:val="center"/>
              <w:rPr>
                <w:rFonts w:ascii="宋体" w:hAnsi="宋体" w:cs="宋体"/>
                <w:kern w:val="0"/>
              </w:rPr>
            </w:pPr>
            <w:r>
              <w:rPr>
                <w:rFonts w:hint="eastAsia" w:ascii="宋体" w:hAnsi="宋体" w:cs="宋体"/>
                <w:kern w:val="0"/>
              </w:rPr>
              <w:t>双电源万兆配置交换机</w:t>
            </w:r>
          </w:p>
        </w:tc>
      </w:tr>
      <w:tr w14:paraId="2966BBB2">
        <w:tblPrEx>
          <w:tblCellMar>
            <w:top w:w="0" w:type="dxa"/>
            <w:left w:w="108" w:type="dxa"/>
            <w:bottom w:w="0" w:type="dxa"/>
            <w:right w:w="108" w:type="dxa"/>
          </w:tblCellMar>
        </w:tblPrEx>
        <w:trPr>
          <w:trHeight w:val="278" w:hRule="atLeast"/>
        </w:trPr>
        <w:tc>
          <w:tcPr>
            <w:tcW w:w="1418" w:type="dxa"/>
            <w:vMerge w:val="restart"/>
            <w:tcBorders>
              <w:top w:val="nil"/>
              <w:left w:val="single" w:color="auto" w:sz="4" w:space="0"/>
              <w:bottom w:val="nil"/>
              <w:right w:val="single" w:color="auto" w:sz="4" w:space="0"/>
            </w:tcBorders>
            <w:shd w:val="clear" w:color="000000" w:fill="FFFFFF"/>
            <w:vAlign w:val="center"/>
          </w:tcPr>
          <w:p w14:paraId="0AEB5C27">
            <w:pPr>
              <w:widowControl/>
              <w:adjustRightInd w:val="0"/>
              <w:snapToGrid w:val="0"/>
              <w:jc w:val="center"/>
              <w:rPr>
                <w:rFonts w:ascii="宋体" w:hAnsi="宋体" w:cs="宋体"/>
                <w:kern w:val="0"/>
              </w:rPr>
            </w:pPr>
            <w:r>
              <w:rPr>
                <w:rFonts w:hint="eastAsia" w:ascii="宋体" w:hAnsi="宋体" w:cs="宋体"/>
                <w:kern w:val="0"/>
              </w:rPr>
              <w:t>硬件</w:t>
            </w:r>
          </w:p>
        </w:tc>
        <w:tc>
          <w:tcPr>
            <w:tcW w:w="7938" w:type="dxa"/>
            <w:tcBorders>
              <w:top w:val="nil"/>
              <w:left w:val="nil"/>
              <w:bottom w:val="single" w:color="auto" w:sz="4" w:space="0"/>
              <w:right w:val="single" w:color="auto" w:sz="4" w:space="0"/>
            </w:tcBorders>
            <w:shd w:val="clear" w:color="auto" w:fill="auto"/>
            <w:vAlign w:val="center"/>
          </w:tcPr>
          <w:p w14:paraId="023AEB6F">
            <w:pPr>
              <w:widowControl/>
              <w:adjustRightInd w:val="0"/>
              <w:snapToGrid w:val="0"/>
              <w:jc w:val="center"/>
              <w:rPr>
                <w:rFonts w:ascii="宋体" w:hAnsi="宋体" w:cs="宋体"/>
                <w:kern w:val="0"/>
              </w:rPr>
            </w:pPr>
            <w:r>
              <w:rPr>
                <w:rFonts w:hint="eastAsia" w:ascii="宋体" w:hAnsi="宋体" w:cs="宋体"/>
              </w:rPr>
              <w:t>▲</w:t>
            </w:r>
            <w:r>
              <w:rPr>
                <w:rFonts w:hint="eastAsia" w:ascii="宋体" w:hAnsi="宋体" w:cs="宋体"/>
                <w:kern w:val="0"/>
              </w:rPr>
              <w:t>支持并实配10G接口数≥24个，40G/100G接口数≥8个。</w:t>
            </w:r>
          </w:p>
        </w:tc>
      </w:tr>
      <w:tr w14:paraId="3645368E">
        <w:tblPrEx>
          <w:tblCellMar>
            <w:top w:w="0" w:type="dxa"/>
            <w:left w:w="108" w:type="dxa"/>
            <w:bottom w:w="0" w:type="dxa"/>
            <w:right w:w="108" w:type="dxa"/>
          </w:tblCellMar>
        </w:tblPrEx>
        <w:trPr>
          <w:trHeight w:val="278" w:hRule="atLeast"/>
        </w:trPr>
        <w:tc>
          <w:tcPr>
            <w:tcW w:w="1418" w:type="dxa"/>
            <w:vMerge w:val="continue"/>
            <w:tcBorders>
              <w:top w:val="nil"/>
              <w:left w:val="single" w:color="auto" w:sz="4" w:space="0"/>
              <w:bottom w:val="nil"/>
              <w:right w:val="single" w:color="auto" w:sz="4" w:space="0"/>
            </w:tcBorders>
            <w:vAlign w:val="center"/>
          </w:tcPr>
          <w:p w14:paraId="653B623F">
            <w:pPr>
              <w:widowControl/>
              <w:adjustRightInd w:val="0"/>
              <w:snapToGrid w:val="0"/>
              <w:jc w:val="center"/>
              <w:rPr>
                <w:rFonts w:ascii="宋体" w:hAnsi="宋体" w:cs="宋体"/>
                <w:kern w:val="0"/>
              </w:rPr>
            </w:pPr>
          </w:p>
        </w:tc>
        <w:tc>
          <w:tcPr>
            <w:tcW w:w="7938" w:type="dxa"/>
            <w:tcBorders>
              <w:top w:val="nil"/>
              <w:left w:val="nil"/>
              <w:bottom w:val="single" w:color="auto" w:sz="4" w:space="0"/>
              <w:right w:val="single" w:color="auto" w:sz="4" w:space="0"/>
            </w:tcBorders>
            <w:shd w:val="clear" w:color="auto" w:fill="auto"/>
            <w:vAlign w:val="center"/>
          </w:tcPr>
          <w:p w14:paraId="3234FFC7">
            <w:pPr>
              <w:widowControl/>
              <w:adjustRightInd w:val="0"/>
              <w:snapToGrid w:val="0"/>
              <w:jc w:val="center"/>
              <w:rPr>
                <w:rFonts w:ascii="宋体" w:hAnsi="宋体" w:cs="宋体"/>
                <w:kern w:val="0"/>
              </w:rPr>
            </w:pPr>
            <w:r>
              <w:rPr>
                <w:rFonts w:hint="eastAsia" w:ascii="宋体" w:hAnsi="宋体" w:cs="宋体"/>
                <w:kern w:val="0"/>
              </w:rPr>
              <w:t>为了提高设备可靠性，支持可拔插双模块化电源</w:t>
            </w:r>
          </w:p>
        </w:tc>
      </w:tr>
      <w:tr w14:paraId="229994C2">
        <w:tblPrEx>
          <w:tblCellMar>
            <w:top w:w="0" w:type="dxa"/>
            <w:left w:w="108" w:type="dxa"/>
            <w:bottom w:w="0" w:type="dxa"/>
            <w:right w:w="108" w:type="dxa"/>
          </w:tblCellMar>
        </w:tblPrEx>
        <w:trPr>
          <w:trHeight w:val="278" w:hRule="atLeast"/>
        </w:trPr>
        <w:tc>
          <w:tcPr>
            <w:tcW w:w="1418" w:type="dxa"/>
            <w:vMerge w:val="continue"/>
            <w:tcBorders>
              <w:top w:val="nil"/>
              <w:left w:val="single" w:color="auto" w:sz="4" w:space="0"/>
              <w:bottom w:val="nil"/>
              <w:right w:val="single" w:color="auto" w:sz="4" w:space="0"/>
            </w:tcBorders>
            <w:vAlign w:val="center"/>
          </w:tcPr>
          <w:p w14:paraId="184AC772">
            <w:pPr>
              <w:widowControl/>
              <w:adjustRightInd w:val="0"/>
              <w:snapToGrid w:val="0"/>
              <w:jc w:val="center"/>
              <w:rPr>
                <w:rFonts w:ascii="宋体" w:hAnsi="宋体" w:cs="宋体"/>
                <w:kern w:val="0"/>
              </w:rPr>
            </w:pPr>
          </w:p>
        </w:tc>
        <w:tc>
          <w:tcPr>
            <w:tcW w:w="7938" w:type="dxa"/>
            <w:tcBorders>
              <w:top w:val="nil"/>
              <w:left w:val="nil"/>
              <w:bottom w:val="single" w:color="auto" w:sz="4" w:space="0"/>
              <w:right w:val="single" w:color="auto" w:sz="4" w:space="0"/>
            </w:tcBorders>
            <w:shd w:val="clear" w:color="auto" w:fill="auto"/>
            <w:vAlign w:val="center"/>
          </w:tcPr>
          <w:p w14:paraId="07D21C6F">
            <w:pPr>
              <w:widowControl/>
              <w:adjustRightInd w:val="0"/>
              <w:snapToGrid w:val="0"/>
              <w:jc w:val="center"/>
              <w:rPr>
                <w:rFonts w:ascii="宋体" w:hAnsi="宋体" w:cs="宋体"/>
                <w:kern w:val="0"/>
              </w:rPr>
            </w:pPr>
            <w:r>
              <w:rPr>
                <w:rFonts w:hint="eastAsia" w:ascii="宋体" w:hAnsi="宋体" w:cs="宋体"/>
                <w:kern w:val="0"/>
              </w:rPr>
              <w:t>★为了提高设备散热性能，支持四个模块化风扇插槽，前后风道。</w:t>
            </w:r>
          </w:p>
        </w:tc>
      </w:tr>
      <w:tr w14:paraId="4AF7300E">
        <w:tblPrEx>
          <w:tblCellMar>
            <w:top w:w="0" w:type="dxa"/>
            <w:left w:w="108" w:type="dxa"/>
            <w:bottom w:w="0" w:type="dxa"/>
            <w:right w:w="108" w:type="dxa"/>
          </w:tblCellMar>
        </w:tblPrEx>
        <w:trPr>
          <w:trHeight w:val="278" w:hRule="atLeast"/>
        </w:trPr>
        <w:tc>
          <w:tcPr>
            <w:tcW w:w="1418" w:type="dxa"/>
            <w:vMerge w:val="continue"/>
            <w:tcBorders>
              <w:top w:val="nil"/>
              <w:left w:val="single" w:color="auto" w:sz="4" w:space="0"/>
              <w:bottom w:val="nil"/>
              <w:right w:val="single" w:color="auto" w:sz="4" w:space="0"/>
            </w:tcBorders>
            <w:vAlign w:val="center"/>
          </w:tcPr>
          <w:p w14:paraId="78ECA66C">
            <w:pPr>
              <w:widowControl/>
              <w:adjustRightInd w:val="0"/>
              <w:snapToGrid w:val="0"/>
              <w:jc w:val="center"/>
              <w:rPr>
                <w:rFonts w:ascii="宋体" w:hAnsi="宋体" w:cs="宋体"/>
                <w:kern w:val="0"/>
              </w:rPr>
            </w:pPr>
          </w:p>
        </w:tc>
        <w:tc>
          <w:tcPr>
            <w:tcW w:w="7938" w:type="dxa"/>
            <w:tcBorders>
              <w:top w:val="nil"/>
              <w:left w:val="nil"/>
              <w:bottom w:val="single" w:color="auto" w:sz="4" w:space="0"/>
              <w:right w:val="single" w:color="auto" w:sz="4" w:space="0"/>
            </w:tcBorders>
            <w:shd w:val="clear" w:color="auto" w:fill="auto"/>
            <w:vAlign w:val="center"/>
          </w:tcPr>
          <w:p w14:paraId="29B9762C">
            <w:pPr>
              <w:widowControl/>
              <w:adjustRightInd w:val="0"/>
              <w:snapToGrid w:val="0"/>
              <w:jc w:val="center"/>
              <w:rPr>
                <w:rFonts w:ascii="宋体" w:hAnsi="宋体" w:cs="宋体"/>
                <w:kern w:val="0"/>
              </w:rPr>
            </w:pPr>
            <w:r>
              <w:rPr>
                <w:rFonts w:hint="eastAsia" w:ascii="宋体" w:hAnsi="宋体" w:cs="宋体"/>
              </w:rPr>
              <w:t>▲</w:t>
            </w:r>
            <w:r>
              <w:rPr>
                <w:rFonts w:hint="eastAsia" w:ascii="宋体" w:hAnsi="宋体" w:cs="宋体"/>
                <w:kern w:val="0"/>
              </w:rPr>
              <w:t>交换容量≥4.8T。</w:t>
            </w:r>
          </w:p>
        </w:tc>
      </w:tr>
      <w:tr w14:paraId="3BE2CCC0">
        <w:tblPrEx>
          <w:tblCellMar>
            <w:top w:w="0" w:type="dxa"/>
            <w:left w:w="108" w:type="dxa"/>
            <w:bottom w:w="0" w:type="dxa"/>
            <w:right w:w="108" w:type="dxa"/>
          </w:tblCellMar>
        </w:tblPrEx>
        <w:trPr>
          <w:trHeight w:val="278" w:hRule="atLeast"/>
        </w:trPr>
        <w:tc>
          <w:tcPr>
            <w:tcW w:w="1418" w:type="dxa"/>
            <w:vMerge w:val="continue"/>
            <w:tcBorders>
              <w:top w:val="nil"/>
              <w:left w:val="single" w:color="auto" w:sz="4" w:space="0"/>
              <w:bottom w:val="nil"/>
              <w:right w:val="single" w:color="auto" w:sz="4" w:space="0"/>
            </w:tcBorders>
            <w:vAlign w:val="center"/>
          </w:tcPr>
          <w:p w14:paraId="07FB5A29">
            <w:pPr>
              <w:widowControl/>
              <w:adjustRightInd w:val="0"/>
              <w:snapToGrid w:val="0"/>
              <w:jc w:val="center"/>
              <w:rPr>
                <w:rFonts w:ascii="宋体" w:hAnsi="宋体" w:cs="宋体"/>
                <w:kern w:val="0"/>
              </w:rPr>
            </w:pPr>
          </w:p>
        </w:tc>
        <w:tc>
          <w:tcPr>
            <w:tcW w:w="7938" w:type="dxa"/>
            <w:tcBorders>
              <w:top w:val="nil"/>
              <w:left w:val="nil"/>
              <w:bottom w:val="single" w:color="auto" w:sz="4" w:space="0"/>
              <w:right w:val="single" w:color="auto" w:sz="4" w:space="0"/>
            </w:tcBorders>
            <w:shd w:val="clear" w:color="auto" w:fill="auto"/>
            <w:vAlign w:val="center"/>
          </w:tcPr>
          <w:p w14:paraId="50BE9EE6">
            <w:pPr>
              <w:widowControl/>
              <w:adjustRightInd w:val="0"/>
              <w:snapToGrid w:val="0"/>
              <w:jc w:val="center"/>
              <w:rPr>
                <w:rFonts w:ascii="宋体" w:hAnsi="宋体" w:cs="宋体"/>
                <w:kern w:val="0"/>
              </w:rPr>
            </w:pPr>
            <w:r>
              <w:rPr>
                <w:rFonts w:hint="eastAsia" w:ascii="宋体" w:hAnsi="宋体" w:cs="宋体"/>
                <w:kern w:val="0"/>
              </w:rPr>
              <w:t>包转发率≥1600Mpps。</w:t>
            </w:r>
          </w:p>
        </w:tc>
      </w:tr>
      <w:tr w14:paraId="3116025D">
        <w:tblPrEx>
          <w:tblCellMar>
            <w:top w:w="0" w:type="dxa"/>
            <w:left w:w="108" w:type="dxa"/>
            <w:bottom w:w="0" w:type="dxa"/>
            <w:right w:w="108" w:type="dxa"/>
          </w:tblCellMar>
        </w:tblPrEx>
        <w:trPr>
          <w:trHeight w:val="833" w:hRule="atLeast"/>
        </w:trPr>
        <w:tc>
          <w:tcPr>
            <w:tcW w:w="1418" w:type="dxa"/>
            <w:vMerge w:val="continue"/>
            <w:tcBorders>
              <w:top w:val="nil"/>
              <w:left w:val="single" w:color="auto" w:sz="4" w:space="0"/>
              <w:bottom w:val="nil"/>
              <w:right w:val="single" w:color="auto" w:sz="4" w:space="0"/>
            </w:tcBorders>
            <w:vAlign w:val="center"/>
          </w:tcPr>
          <w:p w14:paraId="06D5AA82">
            <w:pPr>
              <w:widowControl/>
              <w:adjustRightInd w:val="0"/>
              <w:snapToGrid w:val="0"/>
              <w:jc w:val="center"/>
              <w:rPr>
                <w:rFonts w:ascii="宋体" w:hAnsi="宋体" w:cs="宋体"/>
                <w:kern w:val="0"/>
              </w:rPr>
            </w:pPr>
          </w:p>
        </w:tc>
        <w:tc>
          <w:tcPr>
            <w:tcW w:w="7938" w:type="dxa"/>
            <w:tcBorders>
              <w:top w:val="nil"/>
              <w:left w:val="nil"/>
              <w:bottom w:val="single" w:color="auto" w:sz="4" w:space="0"/>
              <w:right w:val="single" w:color="auto" w:sz="4" w:space="0"/>
            </w:tcBorders>
            <w:shd w:val="clear" w:color="auto" w:fill="auto"/>
            <w:vAlign w:val="center"/>
          </w:tcPr>
          <w:p w14:paraId="4DFAFF03">
            <w:pPr>
              <w:widowControl/>
              <w:adjustRightInd w:val="0"/>
              <w:snapToGrid w:val="0"/>
              <w:jc w:val="center"/>
              <w:rPr>
                <w:rFonts w:ascii="宋体" w:hAnsi="宋体" w:cs="宋体"/>
                <w:kern w:val="0"/>
              </w:rPr>
            </w:pPr>
            <w:r>
              <w:rPr>
                <w:rFonts w:hint="eastAsia" w:ascii="宋体" w:hAnsi="宋体" w:cs="宋体"/>
                <w:kern w:val="0"/>
              </w:rPr>
              <w:t>★支持硬件健康状态可视化，可以对风扇状态、电源、温度、板载电压进行监控，尤其是在日常巡查中发现电压异常前兆，可及时处理，避免出现电压异常宕机，投标时提供具有 CMA或CNAS认证章的第三方权威机构检验报告证明。</w:t>
            </w:r>
          </w:p>
        </w:tc>
      </w:tr>
      <w:tr w14:paraId="038BED22">
        <w:tblPrEx>
          <w:tblCellMar>
            <w:top w:w="0" w:type="dxa"/>
            <w:left w:w="108" w:type="dxa"/>
            <w:bottom w:w="0" w:type="dxa"/>
            <w:right w:w="108" w:type="dxa"/>
          </w:tblCellMar>
        </w:tblPrEx>
        <w:trPr>
          <w:trHeight w:val="833" w:hRule="atLeast"/>
        </w:trPr>
        <w:tc>
          <w:tcPr>
            <w:tcW w:w="1418" w:type="dxa"/>
            <w:vMerge w:val="continue"/>
            <w:tcBorders>
              <w:top w:val="nil"/>
              <w:left w:val="single" w:color="auto" w:sz="4" w:space="0"/>
              <w:bottom w:val="nil"/>
              <w:right w:val="single" w:color="auto" w:sz="4" w:space="0"/>
            </w:tcBorders>
            <w:vAlign w:val="center"/>
          </w:tcPr>
          <w:p w14:paraId="34656F52">
            <w:pPr>
              <w:widowControl/>
              <w:adjustRightInd w:val="0"/>
              <w:snapToGrid w:val="0"/>
              <w:jc w:val="center"/>
              <w:rPr>
                <w:rFonts w:ascii="宋体" w:hAnsi="宋体" w:cs="宋体"/>
                <w:kern w:val="0"/>
              </w:rPr>
            </w:pPr>
          </w:p>
        </w:tc>
        <w:tc>
          <w:tcPr>
            <w:tcW w:w="7938" w:type="dxa"/>
            <w:tcBorders>
              <w:top w:val="nil"/>
              <w:left w:val="nil"/>
              <w:bottom w:val="single" w:color="auto" w:sz="4" w:space="0"/>
              <w:right w:val="single" w:color="auto" w:sz="4" w:space="0"/>
            </w:tcBorders>
            <w:shd w:val="clear" w:color="auto" w:fill="auto"/>
            <w:vAlign w:val="center"/>
          </w:tcPr>
          <w:p w14:paraId="326C65D8">
            <w:pPr>
              <w:widowControl/>
              <w:adjustRightInd w:val="0"/>
              <w:snapToGrid w:val="0"/>
              <w:jc w:val="center"/>
              <w:rPr>
                <w:rFonts w:ascii="宋体" w:hAnsi="宋体" w:cs="宋体"/>
                <w:kern w:val="0"/>
              </w:rPr>
            </w:pPr>
            <w:r>
              <w:rPr>
                <w:rFonts w:hint="eastAsia" w:ascii="宋体" w:hAnsi="宋体" w:cs="宋体"/>
                <w:kern w:val="0"/>
              </w:rPr>
              <w:t>★支持硬件层级双boot，采用两个FLASH芯片存储boot软件（系统引导程序），实现硬件级boot冗余备份，避免因FLASH芯片故障导致交换机无法启动。投标时提供提供具有 CMA或CNAS认证章的第三方权威机构检验报告证明。</w:t>
            </w:r>
          </w:p>
        </w:tc>
      </w:tr>
      <w:tr w14:paraId="5E7F7C7C">
        <w:tblPrEx>
          <w:tblCellMar>
            <w:top w:w="0" w:type="dxa"/>
            <w:left w:w="108" w:type="dxa"/>
            <w:bottom w:w="0" w:type="dxa"/>
            <w:right w:w="108" w:type="dxa"/>
          </w:tblCellMar>
        </w:tblPrEx>
        <w:trPr>
          <w:trHeight w:val="278"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14E6C7">
            <w:pPr>
              <w:widowControl/>
              <w:adjustRightInd w:val="0"/>
              <w:snapToGrid w:val="0"/>
              <w:jc w:val="center"/>
              <w:rPr>
                <w:rFonts w:ascii="宋体" w:hAnsi="宋体" w:cs="宋体"/>
                <w:kern w:val="0"/>
              </w:rPr>
            </w:pPr>
            <w:r>
              <w:rPr>
                <w:rFonts w:hint="eastAsia" w:ascii="宋体" w:hAnsi="宋体" w:cs="宋体"/>
                <w:kern w:val="0"/>
              </w:rPr>
              <w:t>软件</w:t>
            </w:r>
          </w:p>
        </w:tc>
        <w:tc>
          <w:tcPr>
            <w:tcW w:w="7938" w:type="dxa"/>
            <w:tcBorders>
              <w:top w:val="nil"/>
              <w:left w:val="nil"/>
              <w:bottom w:val="single" w:color="auto" w:sz="4" w:space="0"/>
              <w:right w:val="single" w:color="auto" w:sz="4" w:space="0"/>
            </w:tcBorders>
            <w:shd w:val="clear" w:color="auto" w:fill="auto"/>
            <w:vAlign w:val="center"/>
          </w:tcPr>
          <w:p w14:paraId="7EE62752">
            <w:pPr>
              <w:widowControl/>
              <w:adjustRightInd w:val="0"/>
              <w:snapToGrid w:val="0"/>
              <w:jc w:val="center"/>
              <w:rPr>
                <w:rFonts w:ascii="宋体" w:hAnsi="宋体" w:cs="宋体"/>
                <w:kern w:val="0"/>
              </w:rPr>
            </w:pPr>
            <w:r>
              <w:rPr>
                <w:rFonts w:hint="eastAsia" w:ascii="宋体" w:hAnsi="宋体" w:cs="宋体"/>
                <w:kern w:val="0"/>
              </w:rPr>
              <w:t>支持RIP，OSPF，BGP，RIPng，OSPFv3，BGP4+。</w:t>
            </w:r>
          </w:p>
        </w:tc>
      </w:tr>
      <w:tr w14:paraId="4F80B2BA">
        <w:tblPrEx>
          <w:tblCellMar>
            <w:top w:w="0" w:type="dxa"/>
            <w:left w:w="108" w:type="dxa"/>
            <w:bottom w:w="0" w:type="dxa"/>
            <w:right w:w="108" w:type="dxa"/>
          </w:tblCellMar>
        </w:tblPrEx>
        <w:trPr>
          <w:trHeight w:val="27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BD77916">
            <w:pPr>
              <w:widowControl/>
              <w:jc w:val="left"/>
              <w:outlineLvl w:val="0"/>
              <w:rPr>
                <w:rFonts w:ascii="微软雅黑" w:hAnsi="微软雅黑" w:eastAsia="微软雅黑" w:cs="宋体"/>
                <w:b/>
                <w:bCs/>
                <w:color w:val="000000"/>
                <w:kern w:val="0"/>
              </w:rPr>
            </w:pPr>
          </w:p>
        </w:tc>
        <w:tc>
          <w:tcPr>
            <w:tcW w:w="7938" w:type="dxa"/>
            <w:tcBorders>
              <w:top w:val="nil"/>
              <w:left w:val="nil"/>
              <w:bottom w:val="single" w:color="auto" w:sz="4" w:space="0"/>
              <w:right w:val="single" w:color="auto" w:sz="4" w:space="0"/>
            </w:tcBorders>
            <w:shd w:val="clear" w:color="auto" w:fill="auto"/>
            <w:vAlign w:val="center"/>
          </w:tcPr>
          <w:p w14:paraId="744D2B3D">
            <w:pPr>
              <w:widowControl/>
              <w:adjustRightInd w:val="0"/>
              <w:snapToGrid w:val="0"/>
              <w:jc w:val="center"/>
              <w:rPr>
                <w:rFonts w:ascii="宋体" w:hAnsi="宋体" w:cs="宋体"/>
                <w:kern w:val="0"/>
              </w:rPr>
            </w:pPr>
            <w:r>
              <w:rPr>
                <w:rFonts w:hint="eastAsia" w:ascii="宋体" w:hAnsi="宋体" w:cs="宋体"/>
                <w:kern w:val="0"/>
              </w:rPr>
              <w:t>支持跨设备链路聚合MLAG</w:t>
            </w:r>
          </w:p>
        </w:tc>
      </w:tr>
      <w:tr w14:paraId="7011914A">
        <w:tblPrEx>
          <w:tblCellMar>
            <w:top w:w="0" w:type="dxa"/>
            <w:left w:w="108" w:type="dxa"/>
            <w:bottom w:w="0" w:type="dxa"/>
            <w:right w:w="108" w:type="dxa"/>
          </w:tblCellMar>
        </w:tblPrEx>
        <w:trPr>
          <w:trHeight w:val="36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1755753F">
            <w:pPr>
              <w:widowControl/>
              <w:jc w:val="left"/>
              <w:outlineLvl w:val="0"/>
              <w:rPr>
                <w:rFonts w:ascii="微软雅黑" w:hAnsi="微软雅黑" w:eastAsia="微软雅黑" w:cs="宋体"/>
                <w:b/>
                <w:bCs/>
                <w:color w:val="000000"/>
                <w:kern w:val="0"/>
              </w:rPr>
            </w:pPr>
          </w:p>
        </w:tc>
        <w:tc>
          <w:tcPr>
            <w:tcW w:w="7938" w:type="dxa"/>
            <w:tcBorders>
              <w:top w:val="nil"/>
              <w:left w:val="nil"/>
              <w:bottom w:val="single" w:color="auto" w:sz="4" w:space="0"/>
              <w:right w:val="single" w:color="auto" w:sz="4" w:space="0"/>
            </w:tcBorders>
            <w:shd w:val="clear" w:color="auto" w:fill="auto"/>
            <w:vAlign w:val="center"/>
          </w:tcPr>
          <w:p w14:paraId="447FA609">
            <w:pPr>
              <w:widowControl/>
              <w:adjustRightInd w:val="0"/>
              <w:snapToGrid w:val="0"/>
              <w:jc w:val="center"/>
              <w:rPr>
                <w:rFonts w:ascii="宋体" w:hAnsi="宋体" w:cs="宋体"/>
                <w:kern w:val="0"/>
              </w:rPr>
            </w:pPr>
            <w:r>
              <w:rPr>
                <w:rFonts w:hint="eastAsia" w:ascii="宋体" w:hAnsi="宋体" w:cs="宋体"/>
                <w:kern w:val="0"/>
              </w:rPr>
              <w:t>支持VXLAN二层网桥、VXLAN三层网关，支持EVPN VXLAN</w:t>
            </w:r>
          </w:p>
        </w:tc>
      </w:tr>
      <w:tr w14:paraId="35E00CC3">
        <w:tblPrEx>
          <w:tblCellMar>
            <w:top w:w="0" w:type="dxa"/>
            <w:left w:w="108" w:type="dxa"/>
            <w:bottom w:w="0" w:type="dxa"/>
            <w:right w:w="108" w:type="dxa"/>
          </w:tblCellMar>
        </w:tblPrEx>
        <w:trPr>
          <w:trHeight w:val="27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6CFFC4E8">
            <w:pPr>
              <w:widowControl/>
              <w:jc w:val="left"/>
              <w:outlineLvl w:val="0"/>
              <w:rPr>
                <w:rFonts w:ascii="微软雅黑" w:hAnsi="微软雅黑" w:eastAsia="微软雅黑" w:cs="宋体"/>
                <w:b/>
                <w:bCs/>
                <w:color w:val="000000"/>
                <w:kern w:val="0"/>
              </w:rPr>
            </w:pPr>
          </w:p>
        </w:tc>
        <w:tc>
          <w:tcPr>
            <w:tcW w:w="7938" w:type="dxa"/>
            <w:tcBorders>
              <w:top w:val="nil"/>
              <w:left w:val="nil"/>
              <w:bottom w:val="single" w:color="auto" w:sz="4" w:space="0"/>
              <w:right w:val="single" w:color="auto" w:sz="4" w:space="0"/>
            </w:tcBorders>
            <w:shd w:val="clear" w:color="auto" w:fill="auto"/>
            <w:vAlign w:val="center"/>
          </w:tcPr>
          <w:p w14:paraId="2B31F065">
            <w:pPr>
              <w:widowControl/>
              <w:adjustRightInd w:val="0"/>
              <w:snapToGrid w:val="0"/>
              <w:jc w:val="center"/>
              <w:rPr>
                <w:rFonts w:ascii="宋体" w:hAnsi="宋体" w:cs="宋体"/>
                <w:kern w:val="0"/>
              </w:rPr>
            </w:pPr>
            <w:r>
              <w:rPr>
                <w:rFonts w:hint="eastAsia" w:ascii="宋体" w:hAnsi="宋体" w:cs="宋体"/>
                <w:kern w:val="0"/>
              </w:rPr>
              <w:t>支持 Telemetry 技术，实现对CPU、内存等信息的周期性采集</w:t>
            </w:r>
          </w:p>
        </w:tc>
      </w:tr>
      <w:tr w14:paraId="240B845C">
        <w:tblPrEx>
          <w:tblCellMar>
            <w:top w:w="0" w:type="dxa"/>
            <w:left w:w="108" w:type="dxa"/>
            <w:bottom w:w="0" w:type="dxa"/>
            <w:right w:w="108" w:type="dxa"/>
          </w:tblCellMar>
        </w:tblPrEx>
        <w:trPr>
          <w:trHeight w:val="278"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F5665E9">
            <w:pPr>
              <w:widowControl/>
              <w:adjustRightInd w:val="0"/>
              <w:snapToGrid w:val="0"/>
              <w:jc w:val="center"/>
              <w:rPr>
                <w:rFonts w:ascii="宋体" w:hAnsi="宋体" w:cs="宋体"/>
                <w:kern w:val="0"/>
              </w:rPr>
            </w:pPr>
            <w:r>
              <w:rPr>
                <w:rFonts w:hint="eastAsia" w:ascii="宋体" w:hAnsi="宋体" w:cs="宋体"/>
                <w:kern w:val="0"/>
              </w:rPr>
              <w:t>质保</w:t>
            </w:r>
          </w:p>
        </w:tc>
        <w:tc>
          <w:tcPr>
            <w:tcW w:w="7938" w:type="dxa"/>
            <w:tcBorders>
              <w:top w:val="single" w:color="auto" w:sz="4" w:space="0"/>
              <w:left w:val="nil"/>
              <w:bottom w:val="single" w:color="auto" w:sz="4" w:space="0"/>
              <w:right w:val="single" w:color="auto" w:sz="4" w:space="0"/>
            </w:tcBorders>
            <w:shd w:val="clear" w:color="auto" w:fill="auto"/>
            <w:vAlign w:val="center"/>
          </w:tcPr>
          <w:p w14:paraId="60908A03">
            <w:pPr>
              <w:widowControl/>
              <w:adjustRightInd w:val="0"/>
              <w:snapToGrid w:val="0"/>
              <w:jc w:val="center"/>
              <w:rPr>
                <w:rFonts w:ascii="宋体" w:hAnsi="宋体" w:cs="宋体"/>
                <w:kern w:val="0"/>
              </w:rPr>
            </w:pPr>
            <w:r>
              <w:rPr>
                <w:rFonts w:hint="eastAsia" w:ascii="宋体" w:hAnsi="宋体" w:cs="宋体"/>
                <w:kern w:val="0"/>
              </w:rPr>
              <w:t>整机3年原厂质保，上门服务</w:t>
            </w:r>
          </w:p>
        </w:tc>
      </w:tr>
    </w:tbl>
    <w:p w14:paraId="17F191EE"/>
    <w:p w14:paraId="06B66D4D">
      <w:bookmarkStart w:id="2" w:name="_GoBack"/>
      <w:bookmarkEnd w:id="2"/>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B5"/>
    <w:rsid w:val="00011A57"/>
    <w:rsid w:val="000E0652"/>
    <w:rsid w:val="0010176F"/>
    <w:rsid w:val="00141CC3"/>
    <w:rsid w:val="00151158"/>
    <w:rsid w:val="0021159C"/>
    <w:rsid w:val="00217830"/>
    <w:rsid w:val="00220E25"/>
    <w:rsid w:val="0022530D"/>
    <w:rsid w:val="002634DB"/>
    <w:rsid w:val="00297231"/>
    <w:rsid w:val="003567A3"/>
    <w:rsid w:val="0040663A"/>
    <w:rsid w:val="00460EFB"/>
    <w:rsid w:val="00491732"/>
    <w:rsid w:val="004C75D5"/>
    <w:rsid w:val="00506281"/>
    <w:rsid w:val="0056427C"/>
    <w:rsid w:val="00627174"/>
    <w:rsid w:val="007C3973"/>
    <w:rsid w:val="00851169"/>
    <w:rsid w:val="008D693C"/>
    <w:rsid w:val="00962444"/>
    <w:rsid w:val="00974CEF"/>
    <w:rsid w:val="009868AD"/>
    <w:rsid w:val="009B54FA"/>
    <w:rsid w:val="00A0274A"/>
    <w:rsid w:val="00B33DD6"/>
    <w:rsid w:val="00B51070"/>
    <w:rsid w:val="00B71D67"/>
    <w:rsid w:val="00BB16B5"/>
    <w:rsid w:val="00BB6C5F"/>
    <w:rsid w:val="00D13374"/>
    <w:rsid w:val="00D33C2C"/>
    <w:rsid w:val="00DF0B2E"/>
    <w:rsid w:val="00E07633"/>
    <w:rsid w:val="00E6316E"/>
    <w:rsid w:val="00F05048"/>
    <w:rsid w:val="00F101D6"/>
    <w:rsid w:val="00F631FD"/>
    <w:rsid w:val="00F8562B"/>
    <w:rsid w:val="00FA2394"/>
    <w:rsid w:val="00FE121C"/>
    <w:rsid w:val="00FE18D3"/>
    <w:rsid w:val="01B23BF3"/>
    <w:rsid w:val="651D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 w:type="paragraph" w:customStyle="1" w:styleId="7">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4376</Words>
  <Characters>4901</Characters>
  <Lines>55</Lines>
  <Paragraphs>15</Paragraphs>
  <TotalTime>292</TotalTime>
  <ScaleCrop>false</ScaleCrop>
  <LinksUpToDate>false</LinksUpToDate>
  <CharactersWithSpaces>4966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2025-06-06T01:44:00Z</dcterms:created>
  <dc:creator>tiecheng</dc:creator>
  <cp:lastModifiedBy>一撇一捺的人生</cp:lastModifiedBy>
  <dcterms:modified xsi:type="dcterms:W3CDTF">2025-06-12T23:58:05Z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eyJoZGlkIjoiODY3NGQ4N2U4ZDYyMzgwMzQwNTRlZGU5MDgyYTNjNTEiLCJ1c2VySWQiOiIzNDg4MDAzODEifQ==</vt:lpwstr>
  </property>
  <property fmtid="{D5CDD505-2E9C-101B-9397-08002B2CF9AE}" pid="3" name="KSOProductBuildVer">
    <vt:lpwstr>2052-12.1.0.21171</vt:lpwstr>
  </property>
  <property fmtid="{D5CDD505-2E9C-101B-9397-08002B2CF9AE}" pid="4" name="ICV">
    <vt:lpwstr>28E70F63D47B41B3AF900BE305C787AC_12</vt:lpwstr>
  </property>
</Properties>
</file>